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26836" w14:textId="785F4D09" w:rsidR="00403CF9" w:rsidRPr="00537B45" w:rsidRDefault="00537B45" w:rsidP="00537B45">
      <w:pPr>
        <w:pStyle w:val="Akapitzlist"/>
        <w:numPr>
          <w:ilvl w:val="0"/>
          <w:numId w:val="14"/>
        </w:numPr>
        <w:rPr>
          <w:b/>
          <w:bCs/>
          <w:sz w:val="28"/>
          <w:szCs w:val="28"/>
        </w:rPr>
      </w:pPr>
      <w:r w:rsidRPr="00537B45">
        <w:rPr>
          <w:b/>
          <w:bCs/>
          <w:sz w:val="28"/>
          <w:szCs w:val="28"/>
        </w:rPr>
        <w:t>RĘKOJMIA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77777777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9AE140D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27661F5C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5CCB0CBA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239C0D2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spowodowałem/am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spowodowałem/am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7B4516D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7A29FF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12C01D1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76FFF27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77777777" w:rsidR="00AA5845" w:rsidRDefault="00AA584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CDCC66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021B560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045F5A4F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5FA08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kandydata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lastRenderedPageBreak/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3C161D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byłem/am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3C161D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  <w:bookmarkStart w:id="0" w:name="_GoBack"/>
        <w:bookmarkEnd w:id="0"/>
      </w:tr>
    </w:tbl>
    <w:p w14:paraId="2EBF5C32" w14:textId="77777777" w:rsidR="00AB0886" w:rsidRDefault="00AB0886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25928FBC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D93880" w:rsidRPr="00D93880">
              <w:rPr>
                <w:b/>
                <w:sz w:val="24"/>
                <w:szCs w:val="24"/>
              </w:rPr>
              <w:t>Komitet ds. Wynagrodzeń i Nominacji BOŚ S</w:t>
            </w:r>
            <w:r w:rsidR="00074ED1">
              <w:rPr>
                <w:b/>
                <w:sz w:val="24"/>
                <w:szCs w:val="24"/>
              </w:rPr>
              <w:t>.</w:t>
            </w:r>
            <w:r w:rsidR="00D93880" w:rsidRPr="00D93880">
              <w:rPr>
                <w:b/>
                <w:sz w:val="24"/>
                <w:szCs w:val="24"/>
              </w:rPr>
              <w:t>A</w:t>
            </w:r>
            <w:r w:rsidR="00074ED1">
              <w:rPr>
                <w:b/>
                <w:sz w:val="24"/>
                <w:szCs w:val="24"/>
              </w:rPr>
              <w:t>.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641664B2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 w:rsidRPr="00A16511">
                    <w:rPr>
                      <w:sz w:val="24"/>
                      <w:vertAlign w:val="superscript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4F19AA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7168B8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3C161D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E977135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7DE0B10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102C381" w14:textId="77777777" w:rsidR="00813D75" w:rsidRPr="00F45B6D" w:rsidRDefault="003C161D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F9D2FBE" w14:textId="5C78DE91" w:rsidR="00813D75" w:rsidRDefault="00813D75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710778FA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D93880" w:rsidRPr="00D93880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074ED1">
                    <w:rPr>
                      <w:b/>
                      <w:sz w:val="24"/>
                      <w:szCs w:val="24"/>
                    </w:rPr>
                    <w:t>.</w:t>
                  </w:r>
                  <w:r w:rsidR="00D93880" w:rsidRPr="00D93880">
                    <w:rPr>
                      <w:b/>
                      <w:sz w:val="24"/>
                      <w:szCs w:val="24"/>
                    </w:rPr>
                    <w:t>A</w:t>
                  </w:r>
                  <w:r w:rsidR="00074ED1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46B90266" w:rsidR="00AB0886" w:rsidRPr="00BA7E0B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</w:t>
                  </w:r>
                  <w:r w:rsidRPr="00184A56">
                    <w:rPr>
                      <w:sz w:val="24"/>
                      <w:szCs w:val="24"/>
                    </w:rPr>
                    <w:t xml:space="preserve">formularzu informacje wpływają negatywnie na ocenę jego rękojmi pod kątem odpowiedniości do powołania na stanowisko członka </w:t>
                  </w:r>
                  <w:r w:rsidR="00184A56" w:rsidRPr="00184A56">
                    <w:rPr>
                      <w:sz w:val="24"/>
                      <w:szCs w:val="24"/>
                    </w:rPr>
                    <w:t>Zarządu</w:t>
                  </w:r>
                  <w:r w:rsidR="00D93880" w:rsidRPr="00184A56">
                    <w:rPr>
                      <w:sz w:val="24"/>
                      <w:szCs w:val="24"/>
                    </w:rPr>
                    <w:t xml:space="preserve"> BOŚ S</w:t>
                  </w:r>
                  <w:r w:rsidR="00074ED1">
                    <w:rPr>
                      <w:sz w:val="24"/>
                      <w:szCs w:val="24"/>
                    </w:rPr>
                    <w:t>.</w:t>
                  </w:r>
                  <w:r w:rsidR="00D93880" w:rsidRPr="00184A56">
                    <w:rPr>
                      <w:sz w:val="24"/>
                      <w:szCs w:val="24"/>
                    </w:rPr>
                    <w:t>A</w:t>
                  </w:r>
                  <w:r w:rsidRPr="00184A56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3C161D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6A62FB7D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F2276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455A4" w14:textId="77777777" w:rsidR="006601C3" w:rsidRDefault="006601C3" w:rsidP="005F5C9E">
      <w:pPr>
        <w:spacing w:after="0" w:line="240" w:lineRule="auto"/>
      </w:pPr>
      <w:r>
        <w:separator/>
      </w:r>
    </w:p>
  </w:endnote>
  <w:endnote w:type="continuationSeparator" w:id="0">
    <w:p w14:paraId="2920CF2E" w14:textId="77777777" w:rsidR="006601C3" w:rsidRDefault="006601C3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1ABC8" w14:textId="77777777" w:rsidR="003C161D" w:rsidRDefault="003C16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01BA">
          <w:rPr>
            <w:noProof/>
          </w:rPr>
          <w:t>6</w:t>
        </w:r>
        <w:r>
          <w:fldChar w:fldCharType="end"/>
        </w:r>
        <w:r>
          <w:t>/</w:t>
        </w:r>
        <w:fldSimple w:instr=" NUMPAGES  \* Arabic  \* MERGEFORMAT ">
          <w:r w:rsidR="00D501BA">
            <w:rPr>
              <w:noProof/>
            </w:rPr>
            <w:t>6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F6629" w14:textId="77777777" w:rsidR="003C161D" w:rsidRDefault="003C1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A83A1" w14:textId="77777777" w:rsidR="006601C3" w:rsidRDefault="006601C3" w:rsidP="005F5C9E">
      <w:pPr>
        <w:spacing w:after="0" w:line="240" w:lineRule="auto"/>
      </w:pPr>
      <w:r>
        <w:separator/>
      </w:r>
    </w:p>
  </w:footnote>
  <w:footnote w:type="continuationSeparator" w:id="0">
    <w:p w14:paraId="05FA3EEE" w14:textId="77777777" w:rsidR="006601C3" w:rsidRDefault="006601C3" w:rsidP="005F5C9E">
      <w:pPr>
        <w:spacing w:after="0" w:line="240" w:lineRule="auto"/>
      </w:pPr>
      <w:r>
        <w:continuationSeparator/>
      </w:r>
    </w:p>
  </w:footnote>
  <w:footnote w:id="1">
    <w:p w14:paraId="3C8C2B9D" w14:textId="5E1012D1" w:rsidR="00F45B6D" w:rsidRDefault="00F45B6D" w:rsidP="00813D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podmiocie nadzorowanym pr</w:t>
      </w:r>
      <w:r w:rsidR="00D501BA">
        <w:t>zeprowadzającym ocenę; obejmuje</w:t>
      </w:r>
      <w:r>
        <w:t xml:space="preserve"> audyty i kontrole wewnętrzne, audyty podmiotów zewnętrznych (np. IPS), inspekcje </w:t>
      </w:r>
      <w:r w:rsidR="0087666A">
        <w:t xml:space="preserve">organów administracji </w:t>
      </w:r>
      <w:r w:rsidR="00537947">
        <w:t>z wyłączeniem</w:t>
      </w:r>
      <w:r w:rsidR="0087666A">
        <w:t xml:space="preserve"> KNF; analiza powinna obejmować </w:t>
      </w:r>
      <w:r w:rsidR="00813D75">
        <w:t>okres 5-letni, przy czym może uwzględniać również zdarzenia wcześniejsze, które w ocenie podmiotu nadzorowanego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506D4" w14:textId="77777777" w:rsidR="003C161D" w:rsidRDefault="003C16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9E805" w14:textId="60679F56" w:rsidR="00537B45" w:rsidRDefault="00537B45" w:rsidP="00F2276D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 xml:space="preserve">6 </w:t>
    </w:r>
    <w:r w:rsidRPr="002B7C84">
      <w:rPr>
        <w:color w:val="1F3864" w:themeColor="accent5" w:themeShade="80"/>
        <w:sz w:val="20"/>
        <w:szCs w:val="20"/>
      </w:rPr>
      <w:t xml:space="preserve">do Formularza (…), </w:t>
    </w:r>
  </w:p>
  <w:p w14:paraId="2AD6C20A" w14:textId="774BFED7" w:rsidR="00537B45" w:rsidRDefault="00537B45" w:rsidP="00F2276D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F2276D">
      <w:rPr>
        <w:color w:val="1F3864" w:themeColor="accent5" w:themeShade="80"/>
        <w:sz w:val="20"/>
        <w:szCs w:val="20"/>
      </w:rPr>
      <w:t xml:space="preserve">Nr </w:t>
    </w:r>
    <w:r w:rsidR="0026761F">
      <w:rPr>
        <w:color w:val="1F3864" w:themeColor="accent5" w:themeShade="80"/>
        <w:sz w:val="20"/>
        <w:szCs w:val="20"/>
      </w:rPr>
      <w:t>1</w:t>
    </w:r>
    <w:r w:rsidR="00F2276D">
      <w:rPr>
        <w:color w:val="1F3864" w:themeColor="accent5" w:themeShade="80"/>
        <w:sz w:val="20"/>
        <w:szCs w:val="20"/>
      </w:rPr>
      <w:t xml:space="preserve">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184A56">
      <w:rPr>
        <w:color w:val="1F3864" w:themeColor="accent5" w:themeShade="80"/>
        <w:sz w:val="20"/>
        <w:szCs w:val="20"/>
      </w:rPr>
      <w:t>odpowiedniości</w:t>
    </w:r>
    <w:r w:rsidR="00A97BEA">
      <w:rPr>
        <w:color w:val="1F3864" w:themeColor="accent5" w:themeShade="80"/>
        <w:sz w:val="20"/>
        <w:szCs w:val="20"/>
      </w:rPr>
      <w:t xml:space="preserve"> </w:t>
    </w:r>
    <w:r w:rsidRPr="002B7C84">
      <w:rPr>
        <w:color w:val="1F3864" w:themeColor="accent5" w:themeShade="80"/>
        <w:sz w:val="20"/>
        <w:szCs w:val="20"/>
      </w:rPr>
      <w:t xml:space="preserve">(…), </w:t>
    </w:r>
  </w:p>
  <w:p w14:paraId="0BDEB248" w14:textId="0A12862C" w:rsidR="00537B45" w:rsidRPr="002B7C84" w:rsidRDefault="00537B45" w:rsidP="00F2276D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3C161D">
      <w:rPr>
        <w:color w:val="1F3864" w:themeColor="accent5" w:themeShade="80"/>
        <w:sz w:val="20"/>
        <w:szCs w:val="20"/>
      </w:rPr>
      <w:t>15</w:t>
    </w:r>
    <w:r w:rsidRPr="002B7C84">
      <w:rPr>
        <w:color w:val="1F3864" w:themeColor="accent5" w:themeShade="80"/>
        <w:sz w:val="20"/>
        <w:szCs w:val="20"/>
      </w:rPr>
      <w:t>/2020</w:t>
    </w:r>
  </w:p>
  <w:p w14:paraId="7C084220" w14:textId="344EB633" w:rsidR="00AB0886" w:rsidRPr="00537B45" w:rsidRDefault="00184A56" w:rsidP="00F2276D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537B45" w:rsidRPr="002B7C84">
      <w:rPr>
        <w:color w:val="1F3864" w:themeColor="accent5" w:themeShade="80"/>
        <w:sz w:val="20"/>
        <w:szCs w:val="20"/>
      </w:rPr>
      <w:t xml:space="preserve"> BOŚ S.A. z dnia </w:t>
    </w:r>
    <w:r w:rsidR="003C161D">
      <w:rPr>
        <w:color w:val="1F3864" w:themeColor="accent5" w:themeShade="80"/>
        <w:sz w:val="20"/>
        <w:szCs w:val="20"/>
      </w:rPr>
      <w:t xml:space="preserve">1 kwietnia </w:t>
    </w:r>
    <w:r w:rsidR="00537B45"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2891" w14:textId="77777777" w:rsidR="003C161D" w:rsidRDefault="003C16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C70DC"/>
    <w:multiLevelType w:val="hybridMultilevel"/>
    <w:tmpl w:val="26CA86B4"/>
    <w:lvl w:ilvl="0" w:tplc="DE46CEF4">
      <w:start w:val="6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5387B"/>
    <w:rsid w:val="00061217"/>
    <w:rsid w:val="00074ED1"/>
    <w:rsid w:val="000826F8"/>
    <w:rsid w:val="000A6351"/>
    <w:rsid w:val="000C564B"/>
    <w:rsid w:val="000D0280"/>
    <w:rsid w:val="000E3014"/>
    <w:rsid w:val="000F7239"/>
    <w:rsid w:val="001100CE"/>
    <w:rsid w:val="00116F54"/>
    <w:rsid w:val="00147206"/>
    <w:rsid w:val="001507C3"/>
    <w:rsid w:val="00160357"/>
    <w:rsid w:val="001754FC"/>
    <w:rsid w:val="00184A56"/>
    <w:rsid w:val="001925C2"/>
    <w:rsid w:val="001D08B4"/>
    <w:rsid w:val="001E7E34"/>
    <w:rsid w:val="001F29A2"/>
    <w:rsid w:val="0020757C"/>
    <w:rsid w:val="00214014"/>
    <w:rsid w:val="002227E8"/>
    <w:rsid w:val="00231BC8"/>
    <w:rsid w:val="00231CFD"/>
    <w:rsid w:val="00242472"/>
    <w:rsid w:val="002609F9"/>
    <w:rsid w:val="0026761F"/>
    <w:rsid w:val="00275C19"/>
    <w:rsid w:val="00293325"/>
    <w:rsid w:val="002B06D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161D"/>
    <w:rsid w:val="003C58CB"/>
    <w:rsid w:val="003F2F0A"/>
    <w:rsid w:val="00403CF9"/>
    <w:rsid w:val="00431500"/>
    <w:rsid w:val="00470521"/>
    <w:rsid w:val="004722A4"/>
    <w:rsid w:val="00480855"/>
    <w:rsid w:val="00493D12"/>
    <w:rsid w:val="004D37E5"/>
    <w:rsid w:val="004E32B3"/>
    <w:rsid w:val="0050239E"/>
    <w:rsid w:val="00514F60"/>
    <w:rsid w:val="00537947"/>
    <w:rsid w:val="00537B45"/>
    <w:rsid w:val="00544099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1749D"/>
    <w:rsid w:val="00617E05"/>
    <w:rsid w:val="006435C7"/>
    <w:rsid w:val="00651293"/>
    <w:rsid w:val="00651D58"/>
    <w:rsid w:val="006601C3"/>
    <w:rsid w:val="0066206D"/>
    <w:rsid w:val="00671565"/>
    <w:rsid w:val="0069146D"/>
    <w:rsid w:val="006C220B"/>
    <w:rsid w:val="006C6758"/>
    <w:rsid w:val="006D1A18"/>
    <w:rsid w:val="006D5ECE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8E"/>
    <w:rsid w:val="009D62C5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44574"/>
    <w:rsid w:val="00A666FC"/>
    <w:rsid w:val="00A97BEA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93880"/>
    <w:rsid w:val="00DD0124"/>
    <w:rsid w:val="00DD0791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76D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E6B3B0-17CE-4042-B97B-D32C736C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1248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6</cp:revision>
  <cp:lastPrinted>2020-02-03T16:47:00Z</cp:lastPrinted>
  <dcterms:created xsi:type="dcterms:W3CDTF">2020-03-12T14:12:00Z</dcterms:created>
  <dcterms:modified xsi:type="dcterms:W3CDTF">2020-04-01T09:00:00Z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2020-02-03T16:47:25.4662627Z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7213835e-bda9-4211-aaf6-2d88dfb6aebb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