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C053" w14:textId="2ADB35FF" w:rsidR="00A129E0" w:rsidRPr="00A129E0" w:rsidRDefault="00A129E0" w:rsidP="00A129E0">
      <w:pPr>
        <w:rPr>
          <w:rFonts w:cs="Arial"/>
          <w:b/>
          <w:sz w:val="16"/>
          <w:szCs w:val="16"/>
        </w:rPr>
      </w:pPr>
      <w:r w:rsidRPr="00A129E0">
        <w:rPr>
          <w:rFonts w:cs="Arial"/>
          <w:b/>
          <w:sz w:val="16"/>
          <w:szCs w:val="16"/>
        </w:rPr>
        <w:t xml:space="preserve">Załącznik nr 2 do Zapytania ofertowego z dnia </w:t>
      </w:r>
      <w:r w:rsidR="000C41B8">
        <w:rPr>
          <w:rFonts w:cs="Arial"/>
          <w:b/>
          <w:sz w:val="16"/>
          <w:szCs w:val="16"/>
        </w:rPr>
        <w:t>08/06/2026</w:t>
      </w:r>
    </w:p>
    <w:p w14:paraId="7E47D204" w14:textId="77777777" w:rsidR="00A129E0" w:rsidRPr="00A129E0" w:rsidRDefault="00A129E0" w:rsidP="00A129E0">
      <w:pPr>
        <w:rPr>
          <w:rFonts w:cs="Arial"/>
          <w:b/>
        </w:rPr>
      </w:pPr>
    </w:p>
    <w:p w14:paraId="2450E78E" w14:textId="77777777" w:rsidR="00A129E0" w:rsidRPr="00A129E0" w:rsidRDefault="00A129E0" w:rsidP="00A129E0">
      <w:pPr>
        <w:jc w:val="center"/>
        <w:rPr>
          <w:rFonts w:cs="Arial"/>
          <w:b/>
        </w:rPr>
      </w:pPr>
    </w:p>
    <w:p w14:paraId="4ECFEF0D" w14:textId="77777777" w:rsidR="00A129E0" w:rsidRPr="009A08DD" w:rsidRDefault="00A129E0" w:rsidP="00A129E0">
      <w:pPr>
        <w:jc w:val="center"/>
        <w:rPr>
          <w:rFonts w:cs="Arial"/>
          <w:b/>
        </w:rPr>
      </w:pPr>
      <w:bookmarkStart w:id="0" w:name="_Hlk230679295"/>
      <w:r w:rsidRPr="009A08DD">
        <w:rPr>
          <w:rFonts w:cs="Arial"/>
          <w:b/>
        </w:rPr>
        <w:t xml:space="preserve">UMOWA </w:t>
      </w:r>
    </w:p>
    <w:p w14:paraId="1A12B5F8" w14:textId="77777777" w:rsidR="00A129E0" w:rsidRPr="009A08DD" w:rsidRDefault="00A129E0" w:rsidP="00A129E0">
      <w:pPr>
        <w:jc w:val="center"/>
        <w:rPr>
          <w:rFonts w:cs="Arial"/>
          <w:b/>
        </w:rPr>
      </w:pPr>
      <w:bookmarkStart w:id="1" w:name="_Hlk199759291"/>
      <w:r w:rsidRPr="009A08DD">
        <w:rPr>
          <w:rFonts w:cs="Arial"/>
          <w:b/>
        </w:rPr>
        <w:t xml:space="preserve">w zakresie przekazania Informacji Poufnych, prowadzenia negocjacji i zachowania poufności </w:t>
      </w:r>
      <w:bookmarkEnd w:id="1"/>
    </w:p>
    <w:p w14:paraId="5ADBA251" w14:textId="77777777" w:rsidR="00A129E0" w:rsidRPr="009A08DD" w:rsidRDefault="00A129E0" w:rsidP="00A129E0">
      <w:pPr>
        <w:jc w:val="center"/>
        <w:rPr>
          <w:rFonts w:cs="Arial"/>
          <w:b/>
        </w:rPr>
      </w:pPr>
    </w:p>
    <w:bookmarkEnd w:id="0"/>
    <w:p w14:paraId="4B827CC9" w14:textId="428F05F8" w:rsidR="00872342" w:rsidRPr="009A08DD" w:rsidRDefault="00A129E0" w:rsidP="00A129E0">
      <w:pPr>
        <w:adjustRightInd w:val="0"/>
        <w:spacing w:line="360" w:lineRule="auto"/>
        <w:jc w:val="both"/>
        <w:rPr>
          <w:rFonts w:cs="Arial"/>
        </w:rPr>
      </w:pPr>
      <w:r w:rsidRPr="00321802">
        <w:rPr>
          <w:rFonts w:cs="Arial"/>
        </w:rPr>
        <w:t>zawarta w dniu…</w:t>
      </w:r>
      <w:r w:rsidR="009A08DD" w:rsidRPr="00321802">
        <w:rPr>
          <w:rFonts w:cs="Arial"/>
        </w:rPr>
        <w:t>…………………</w:t>
      </w:r>
      <w:r w:rsidRPr="00321802">
        <w:rPr>
          <w:rFonts w:cs="Arial"/>
        </w:rPr>
        <w:t>w Warszawie</w:t>
      </w:r>
      <w:r w:rsidRPr="009A08DD">
        <w:rPr>
          <w:rFonts w:cs="Arial"/>
        </w:rPr>
        <w:t xml:space="preserve"> pomiędzy: </w:t>
      </w:r>
    </w:p>
    <w:p w14:paraId="0304860B" w14:textId="77777777" w:rsidR="00A129E0" w:rsidRPr="009A08DD" w:rsidRDefault="00A129E0" w:rsidP="00A129E0">
      <w:pPr>
        <w:adjustRightInd w:val="0"/>
        <w:spacing w:line="360" w:lineRule="auto"/>
        <w:jc w:val="both"/>
        <w:rPr>
          <w:rFonts w:cs="Arial"/>
        </w:rPr>
      </w:pPr>
      <w:bookmarkStart w:id="2" w:name="_Hlk523752831"/>
      <w:bookmarkStart w:id="3" w:name="_Hlk59018880"/>
      <w:bookmarkStart w:id="4" w:name="_Hlk59018651"/>
      <w:r w:rsidRPr="009A08DD">
        <w:rPr>
          <w:rFonts w:cs="Arial"/>
          <w:b/>
        </w:rPr>
        <w:t xml:space="preserve">Bankiem Ochrony Środowiska Spółką Akcyjną z siedzibą w Warszawie </w:t>
      </w:r>
      <w:r w:rsidRPr="009A08DD">
        <w:rPr>
          <w:rFonts w:cs="Arial"/>
        </w:rPr>
        <w:t>przy ul. Żelaznej 32, 00-832 Warszawa</w:t>
      </w:r>
      <w:bookmarkEnd w:id="2"/>
      <w:r w:rsidRPr="009A08DD">
        <w:rPr>
          <w:rFonts w:cs="Arial"/>
        </w:rPr>
        <w:t xml:space="preserve">, zarejestrowanym w Sądzie Rejonowym dla m. st. Warszawy XIII Wydział Gospodarczy Krajowego Rejestru Sądowego pod numerem KRS 0000015525 o kapitale zakładowym 929.476.710 złotych w całości wpłaconym, NIP </w:t>
      </w:r>
      <w:bookmarkEnd w:id="3"/>
      <w:r w:rsidRPr="009A08DD">
        <w:rPr>
          <w:rFonts w:cs="Arial"/>
        </w:rPr>
        <w:t>527-020-33-13, REGON 006239498, reprezentowanym przez:</w:t>
      </w:r>
    </w:p>
    <w:p w14:paraId="5F970E97" w14:textId="17F98DC0" w:rsidR="00A129E0" w:rsidRPr="009A08DD" w:rsidRDefault="00A129E0" w:rsidP="00A129E0">
      <w:pPr>
        <w:pStyle w:val="Normalny1"/>
        <w:spacing w:line="360" w:lineRule="auto"/>
        <w:jc w:val="both"/>
        <w:rPr>
          <w:rFonts w:ascii="Montserrat" w:eastAsia="Calibri" w:hAnsi="Montserrat" w:cs="Arial"/>
          <w:color w:val="000000" w:themeColor="text1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color w:val="000000" w:themeColor="text1"/>
          <w:sz w:val="22"/>
          <w:szCs w:val="22"/>
          <w:lang w:eastAsia="en-US"/>
        </w:rPr>
        <w:t xml:space="preserve">1. …………………………………………………………..- Pełnomocnika </w:t>
      </w:r>
    </w:p>
    <w:p w14:paraId="41179258" w14:textId="64B7CC24" w:rsidR="00A129E0" w:rsidRPr="009A08DD" w:rsidRDefault="00A129E0" w:rsidP="00A129E0">
      <w:pPr>
        <w:pStyle w:val="Normalny1"/>
        <w:spacing w:line="360" w:lineRule="auto"/>
        <w:jc w:val="both"/>
        <w:rPr>
          <w:rFonts w:ascii="Montserrat" w:eastAsia="Calibri" w:hAnsi="Montserrat" w:cs="Arial"/>
          <w:color w:val="000000" w:themeColor="text1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color w:val="000000" w:themeColor="text1"/>
          <w:sz w:val="22"/>
          <w:szCs w:val="22"/>
          <w:lang w:eastAsia="en-US"/>
        </w:rPr>
        <w:t>2. ………………………………………………………….- Pełnomocnika</w:t>
      </w:r>
    </w:p>
    <w:p w14:paraId="4056227E" w14:textId="77777777" w:rsidR="00A129E0" w:rsidRPr="009A08DD" w:rsidRDefault="00A129E0" w:rsidP="00A129E0">
      <w:pPr>
        <w:spacing w:line="360" w:lineRule="auto"/>
        <w:ind w:right="74"/>
        <w:jc w:val="both"/>
        <w:rPr>
          <w:rFonts w:cs="Arial"/>
          <w:b/>
          <w:bCs/>
        </w:rPr>
      </w:pPr>
      <w:r w:rsidRPr="009A08DD">
        <w:rPr>
          <w:rFonts w:cs="Arial"/>
        </w:rPr>
        <w:t>zwanym dalej</w:t>
      </w:r>
      <w:r w:rsidRPr="009A08DD">
        <w:rPr>
          <w:rFonts w:cs="Arial"/>
          <w:b/>
          <w:bCs/>
        </w:rPr>
        <w:t xml:space="preserve"> „Bankiem”,</w:t>
      </w:r>
    </w:p>
    <w:p w14:paraId="43762486" w14:textId="1F02441B" w:rsidR="00A129E0" w:rsidRPr="00321802" w:rsidRDefault="00A129E0" w:rsidP="00A129E0">
      <w:pPr>
        <w:spacing w:line="360" w:lineRule="auto"/>
        <w:jc w:val="both"/>
        <w:rPr>
          <w:rFonts w:cs="Arial"/>
        </w:rPr>
      </w:pPr>
      <w:r w:rsidRPr="00321802">
        <w:rPr>
          <w:rFonts w:cs="Arial"/>
        </w:rPr>
        <w:t>a</w:t>
      </w:r>
      <w:r w:rsidR="00872342" w:rsidRPr="00321802">
        <w:rPr>
          <w:rFonts w:cs="Arial"/>
        </w:rPr>
        <w:t xml:space="preserve"> </w:t>
      </w:r>
    </w:p>
    <w:p w14:paraId="2663FFF9" w14:textId="77777777" w:rsidR="00A129E0" w:rsidRPr="00321802" w:rsidRDefault="00A129E0" w:rsidP="00A129E0">
      <w:pPr>
        <w:spacing w:line="360" w:lineRule="auto"/>
        <w:jc w:val="both"/>
        <w:rPr>
          <w:rFonts w:cs="Arial"/>
        </w:rPr>
      </w:pPr>
      <w:r w:rsidRPr="00321802">
        <w:rPr>
          <w:rFonts w:cs="Arial"/>
        </w:rPr>
        <w:t>…</w:t>
      </w:r>
    </w:p>
    <w:bookmarkEnd w:id="4"/>
    <w:p w14:paraId="655FBE62" w14:textId="77777777" w:rsidR="00A129E0" w:rsidRPr="00321802" w:rsidRDefault="00A129E0" w:rsidP="00A129E0">
      <w:pPr>
        <w:spacing w:line="360" w:lineRule="auto"/>
        <w:ind w:right="2"/>
        <w:jc w:val="both"/>
        <w:rPr>
          <w:rFonts w:cs="Arial"/>
        </w:rPr>
      </w:pPr>
      <w:r w:rsidRPr="00321802">
        <w:rPr>
          <w:rFonts w:cs="Arial"/>
        </w:rPr>
        <w:t>reprezentowanym przez:</w:t>
      </w:r>
    </w:p>
    <w:p w14:paraId="2517A805" w14:textId="77777777" w:rsidR="00A129E0" w:rsidRPr="00321802" w:rsidRDefault="00A129E0" w:rsidP="00A129E0">
      <w:pPr>
        <w:spacing w:line="360" w:lineRule="auto"/>
        <w:ind w:right="2"/>
        <w:jc w:val="both"/>
        <w:rPr>
          <w:rFonts w:cs="Arial"/>
        </w:rPr>
      </w:pPr>
      <w:r w:rsidRPr="00321802">
        <w:rPr>
          <w:rFonts w:cs="Arial"/>
        </w:rPr>
        <w:t>…</w:t>
      </w:r>
    </w:p>
    <w:p w14:paraId="1795894E" w14:textId="77777777" w:rsidR="00A129E0" w:rsidRPr="009A08DD" w:rsidRDefault="00A129E0" w:rsidP="00A129E0">
      <w:pPr>
        <w:spacing w:line="360" w:lineRule="auto"/>
        <w:ind w:right="2"/>
        <w:jc w:val="both"/>
        <w:rPr>
          <w:rFonts w:cs="Arial"/>
        </w:rPr>
      </w:pPr>
      <w:r w:rsidRPr="00321802">
        <w:rPr>
          <w:rFonts w:cs="Arial"/>
        </w:rPr>
        <w:t>…</w:t>
      </w:r>
    </w:p>
    <w:p w14:paraId="5EC145BC" w14:textId="77777777" w:rsidR="00A129E0" w:rsidRPr="009A08DD" w:rsidRDefault="00A129E0" w:rsidP="00A129E0">
      <w:pPr>
        <w:spacing w:line="360" w:lineRule="auto"/>
        <w:ind w:right="2"/>
        <w:jc w:val="both"/>
        <w:rPr>
          <w:rFonts w:cs="Arial"/>
        </w:rPr>
      </w:pPr>
      <w:r w:rsidRPr="009A08DD">
        <w:rPr>
          <w:rFonts w:cs="Arial"/>
        </w:rPr>
        <w:t xml:space="preserve">zwanym dalej </w:t>
      </w:r>
      <w:r w:rsidRPr="009A08DD">
        <w:rPr>
          <w:rFonts w:cs="Arial"/>
          <w:b/>
          <w:bCs/>
        </w:rPr>
        <w:t>„Oferentem”</w:t>
      </w:r>
    </w:p>
    <w:p w14:paraId="379D1351" w14:textId="77777777" w:rsidR="00A129E0" w:rsidRPr="009A08DD" w:rsidRDefault="00A129E0" w:rsidP="00A129E0">
      <w:pPr>
        <w:spacing w:line="360" w:lineRule="auto"/>
        <w:jc w:val="both"/>
        <w:rPr>
          <w:rFonts w:cs="Arial"/>
          <w:b/>
          <w:bCs/>
        </w:rPr>
      </w:pPr>
      <w:r w:rsidRPr="009A08DD">
        <w:rPr>
          <w:rFonts w:cs="Arial"/>
        </w:rPr>
        <w:t xml:space="preserve">i zwanymi dalej łącznie </w:t>
      </w:r>
      <w:r w:rsidRPr="009A08DD">
        <w:rPr>
          <w:rFonts w:cs="Arial"/>
          <w:b/>
          <w:bCs/>
        </w:rPr>
        <w:t>„Stronami”</w:t>
      </w:r>
    </w:p>
    <w:p w14:paraId="1FFAD1FC" w14:textId="77777777" w:rsidR="00A129E0" w:rsidRPr="009A08DD" w:rsidRDefault="00A129E0" w:rsidP="00A129E0">
      <w:pPr>
        <w:spacing w:after="120" w:line="360" w:lineRule="auto"/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PREAMBUŁA</w:t>
      </w:r>
    </w:p>
    <w:p w14:paraId="745675ED" w14:textId="77777777" w:rsidR="00A129E0" w:rsidRPr="009A08DD" w:rsidRDefault="00A129E0" w:rsidP="00A129E0">
      <w:pPr>
        <w:spacing w:line="360" w:lineRule="auto"/>
        <w:jc w:val="both"/>
        <w:rPr>
          <w:rFonts w:cs="Arial"/>
        </w:rPr>
      </w:pPr>
      <w:r w:rsidRPr="009A08DD">
        <w:rPr>
          <w:rFonts w:cs="Arial"/>
        </w:rPr>
        <w:t xml:space="preserve">Zważywszy na fakt, że: </w:t>
      </w:r>
    </w:p>
    <w:p w14:paraId="33F70CF2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- </w:t>
      </w:r>
      <w:r w:rsidRPr="009A08DD">
        <w:rPr>
          <w:rFonts w:cs="Arial"/>
        </w:rPr>
        <w:tab/>
        <w:t xml:space="preserve">Bank przeznaczył do procesu sprzedaży portfel wierzytelność (dalej jako </w:t>
      </w:r>
      <w:r w:rsidRPr="009A08DD">
        <w:rPr>
          <w:rFonts w:cs="Arial"/>
          <w:b/>
          <w:bCs/>
        </w:rPr>
        <w:t>„Portfel Wierzytelność”</w:t>
      </w:r>
      <w:r w:rsidRPr="009A08DD">
        <w:rPr>
          <w:rFonts w:cs="Arial"/>
        </w:rPr>
        <w:t>);</w:t>
      </w:r>
    </w:p>
    <w:p w14:paraId="27B85F88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-</w:t>
      </w:r>
      <w:r w:rsidRPr="009A08DD">
        <w:rPr>
          <w:rFonts w:cs="Arial"/>
        </w:rPr>
        <w:tab/>
        <w:t xml:space="preserve">Oferent wyraził wolę zakupu Portfela Wierzytelności;  </w:t>
      </w:r>
      <w:bookmarkStart w:id="5" w:name="_Hlk98233588"/>
    </w:p>
    <w:p w14:paraId="00E377B5" w14:textId="77777777" w:rsidR="00872342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- </w:t>
      </w:r>
      <w:r w:rsidRPr="009A08DD">
        <w:rPr>
          <w:rFonts w:cs="Arial"/>
        </w:rPr>
        <w:tab/>
        <w:t>w związku z intencją Stron niezbędne jest udzielenie Oferentowi informacji o charakterze poufnym (</w:t>
      </w:r>
      <w:r w:rsidRPr="009A08DD">
        <w:rPr>
          <w:rFonts w:cs="Arial"/>
          <w:b/>
          <w:bCs/>
        </w:rPr>
        <w:t>„Informacje Poufne”</w:t>
      </w:r>
      <w:r w:rsidRPr="009A08DD">
        <w:rPr>
          <w:rFonts w:cs="Arial"/>
        </w:rPr>
        <w:t xml:space="preserve">) dotyczących Portfela Wierzytelności, a ponadto niezbędnym jest udzielenie Oferentowi dostępu do dokumentów związanych z Portfelem Wierzytelności w </w:t>
      </w:r>
    </w:p>
    <w:p w14:paraId="5C6BB60C" w14:textId="77777777" w:rsidR="00872342" w:rsidRPr="009A08DD" w:rsidRDefault="00872342" w:rsidP="00872342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   </w:t>
      </w:r>
    </w:p>
    <w:p w14:paraId="1EC6B74A" w14:textId="77777777" w:rsidR="00EF35C8" w:rsidRPr="009A08DD" w:rsidRDefault="00EF35C8" w:rsidP="00872342">
      <w:pPr>
        <w:spacing w:line="360" w:lineRule="auto"/>
        <w:ind w:left="284" w:hanging="284"/>
        <w:jc w:val="both"/>
        <w:rPr>
          <w:rFonts w:cs="Arial"/>
        </w:rPr>
      </w:pPr>
    </w:p>
    <w:p w14:paraId="73CAD957" w14:textId="4EDA1AEC" w:rsidR="003D2475" w:rsidRPr="009A08DD" w:rsidRDefault="00872342" w:rsidP="00872342">
      <w:pPr>
        <w:spacing w:line="360" w:lineRule="auto"/>
        <w:ind w:left="-142" w:hanging="284"/>
        <w:jc w:val="both"/>
        <w:rPr>
          <w:rFonts w:cs="Arial"/>
        </w:rPr>
      </w:pPr>
      <w:r w:rsidRPr="009A08DD">
        <w:rPr>
          <w:rFonts w:cs="Arial"/>
        </w:rPr>
        <w:t xml:space="preserve">     </w:t>
      </w:r>
      <w:r w:rsidR="00A129E0" w:rsidRPr="009A08DD">
        <w:rPr>
          <w:rFonts w:cs="Arial"/>
        </w:rPr>
        <w:t>posiadaniu których jest Bank, a to w celu przeprowadzenia procesu badania stanu Portfela</w:t>
      </w:r>
      <w:r w:rsidRPr="009A08DD">
        <w:rPr>
          <w:rFonts w:cs="Arial"/>
        </w:rPr>
        <w:t xml:space="preserve"> </w:t>
      </w:r>
      <w:r w:rsidR="00A129E0" w:rsidRPr="009A08DD">
        <w:rPr>
          <w:rFonts w:cs="Arial"/>
        </w:rPr>
        <w:t>Wierzytelności (</w:t>
      </w:r>
      <w:proofErr w:type="spellStart"/>
      <w:r w:rsidR="00A129E0" w:rsidRPr="009A08DD">
        <w:rPr>
          <w:rFonts w:cs="Arial"/>
          <w:i/>
          <w:iCs/>
        </w:rPr>
        <w:t>due</w:t>
      </w:r>
      <w:proofErr w:type="spellEnd"/>
      <w:r w:rsidR="00A129E0" w:rsidRPr="009A08DD">
        <w:rPr>
          <w:rFonts w:cs="Arial"/>
          <w:i/>
          <w:iCs/>
        </w:rPr>
        <w:t xml:space="preserve"> </w:t>
      </w:r>
      <w:proofErr w:type="spellStart"/>
      <w:r w:rsidR="00A129E0" w:rsidRPr="009A08DD">
        <w:rPr>
          <w:rFonts w:cs="Arial"/>
          <w:i/>
          <w:iCs/>
        </w:rPr>
        <w:t>dilligence</w:t>
      </w:r>
      <w:proofErr w:type="spellEnd"/>
      <w:r w:rsidR="00A129E0" w:rsidRPr="009A08DD">
        <w:rPr>
          <w:rFonts w:cs="Arial"/>
        </w:rPr>
        <w:t xml:space="preserve">), a także prowadzenia negocjacji w przedmiocie warunków umowy </w:t>
      </w:r>
      <w:r w:rsidR="003D2475" w:rsidRPr="009A08DD">
        <w:rPr>
          <w:rFonts w:cs="Arial"/>
        </w:rPr>
        <w:t xml:space="preserve">     </w:t>
      </w:r>
      <w:r w:rsidR="00A129E0" w:rsidRPr="009A08DD">
        <w:rPr>
          <w:rFonts w:cs="Arial"/>
        </w:rPr>
        <w:t>sprzedaży Portfela Wierzytelności;</w:t>
      </w:r>
      <w:bookmarkEnd w:id="5"/>
    </w:p>
    <w:p w14:paraId="0F49DCAE" w14:textId="5A6AAE4D" w:rsidR="00A129E0" w:rsidRPr="009A08DD" w:rsidRDefault="003D2475" w:rsidP="003D2475">
      <w:pPr>
        <w:spacing w:line="360" w:lineRule="auto"/>
        <w:ind w:left="-142" w:hanging="284"/>
        <w:jc w:val="both"/>
        <w:rPr>
          <w:rFonts w:cs="Arial"/>
        </w:rPr>
      </w:pPr>
      <w:r w:rsidRPr="009A08DD">
        <w:rPr>
          <w:rFonts w:cs="Arial"/>
        </w:rPr>
        <w:t xml:space="preserve">     </w:t>
      </w:r>
      <w:r w:rsidR="00A129E0" w:rsidRPr="009A08DD">
        <w:rPr>
          <w:rFonts w:cs="Arial"/>
        </w:rPr>
        <w:t xml:space="preserve">Strony postanowiły zawrzeć Umowę w zakresie przekazywania Informacji Poufnych, prowadzenia negocjacji i zachowania poufności (dalej jako </w:t>
      </w:r>
      <w:r w:rsidR="00A129E0" w:rsidRPr="009A08DD">
        <w:rPr>
          <w:rFonts w:cs="Arial"/>
          <w:b/>
          <w:bCs/>
        </w:rPr>
        <w:t>„Umowa”</w:t>
      </w:r>
      <w:r w:rsidR="00A129E0" w:rsidRPr="009A08DD">
        <w:rPr>
          <w:rFonts w:cs="Arial"/>
        </w:rPr>
        <w:t>) o następującej treści:</w:t>
      </w:r>
    </w:p>
    <w:p w14:paraId="5D167337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</w:p>
    <w:p w14:paraId="1FA3BD67" w14:textId="77777777" w:rsidR="00A129E0" w:rsidRPr="009A08DD" w:rsidRDefault="00A129E0" w:rsidP="00A129E0">
      <w:pPr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1</w:t>
      </w:r>
    </w:p>
    <w:p w14:paraId="76FC6CAF" w14:textId="77777777" w:rsidR="00872342" w:rsidRPr="009A08DD" w:rsidRDefault="00872342" w:rsidP="00A129E0">
      <w:pPr>
        <w:jc w:val="center"/>
        <w:rPr>
          <w:rFonts w:cs="Arial"/>
          <w:b/>
          <w:bCs/>
        </w:rPr>
      </w:pPr>
    </w:p>
    <w:p w14:paraId="67A5E91D" w14:textId="77777777" w:rsidR="00A129E0" w:rsidRPr="009A08DD" w:rsidRDefault="00A129E0" w:rsidP="00A129E0">
      <w:pPr>
        <w:spacing w:line="360" w:lineRule="auto"/>
        <w:jc w:val="both"/>
        <w:rPr>
          <w:rFonts w:cs="Arial"/>
        </w:rPr>
      </w:pPr>
      <w:r w:rsidRPr="009A08DD">
        <w:rPr>
          <w:rFonts w:cs="Arial"/>
        </w:rPr>
        <w:t xml:space="preserve">Przedmiotem Umowy jest: </w:t>
      </w:r>
    </w:p>
    <w:p w14:paraId="62ECEF6D" w14:textId="77777777" w:rsidR="00A129E0" w:rsidRPr="009A08DD" w:rsidRDefault="00A129E0" w:rsidP="00A129E0">
      <w:pPr>
        <w:widowControl/>
        <w:numPr>
          <w:ilvl w:val="0"/>
          <w:numId w:val="3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ustalenie warunków i zasad przekazywania przez Bank Oferentowi Informacji Poufnych w związku z prowadzeniem przez Oferenta procesu badania stanu Portfela Wierzytelności (</w:t>
      </w:r>
      <w:proofErr w:type="spellStart"/>
      <w:r w:rsidRPr="009A08DD">
        <w:rPr>
          <w:rFonts w:cs="Arial"/>
          <w:i/>
          <w:iCs/>
        </w:rPr>
        <w:t>due</w:t>
      </w:r>
      <w:proofErr w:type="spellEnd"/>
      <w:r w:rsidRPr="009A08DD">
        <w:rPr>
          <w:rFonts w:cs="Arial"/>
          <w:i/>
          <w:iCs/>
        </w:rPr>
        <w:t xml:space="preserve"> </w:t>
      </w:r>
      <w:proofErr w:type="spellStart"/>
      <w:r w:rsidRPr="009A08DD">
        <w:rPr>
          <w:rFonts w:cs="Arial"/>
          <w:i/>
          <w:iCs/>
        </w:rPr>
        <w:t>dilligence</w:t>
      </w:r>
      <w:proofErr w:type="spellEnd"/>
      <w:r w:rsidRPr="009A08DD">
        <w:rPr>
          <w:rFonts w:cs="Arial"/>
        </w:rPr>
        <w:t xml:space="preserve">), a także prowadzeniem negocjacji w przedmiocie warunków umowy sprzedaży Portfela Wierzytelności, </w:t>
      </w:r>
    </w:p>
    <w:p w14:paraId="36AA0609" w14:textId="77777777" w:rsidR="00A129E0" w:rsidRPr="009A08DD" w:rsidRDefault="00A129E0" w:rsidP="00A129E0">
      <w:pPr>
        <w:widowControl/>
        <w:numPr>
          <w:ilvl w:val="0"/>
          <w:numId w:val="3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określenie praw i obowiązków Stron w zakresie wykorzystania, zarządzania, ochrony </w:t>
      </w:r>
      <w:r w:rsidRPr="009A08DD">
        <w:rPr>
          <w:rFonts w:cs="Arial"/>
        </w:rPr>
        <w:br/>
        <w:t>i zabezpieczenia Informacji Poufnych uzyskanych przez Oferenta od Banku, a w szczególności uzyskanych w toku procesu badania stanu Portfela Wierzytelności (</w:t>
      </w:r>
      <w:proofErr w:type="spellStart"/>
      <w:r w:rsidRPr="009A08DD">
        <w:rPr>
          <w:rFonts w:cs="Arial"/>
          <w:i/>
          <w:iCs/>
        </w:rPr>
        <w:t>due</w:t>
      </w:r>
      <w:proofErr w:type="spellEnd"/>
      <w:r w:rsidRPr="009A08DD">
        <w:rPr>
          <w:rFonts w:cs="Arial"/>
          <w:i/>
          <w:iCs/>
        </w:rPr>
        <w:t xml:space="preserve"> </w:t>
      </w:r>
      <w:proofErr w:type="spellStart"/>
      <w:r w:rsidRPr="009A08DD">
        <w:rPr>
          <w:rFonts w:cs="Arial"/>
          <w:i/>
          <w:iCs/>
        </w:rPr>
        <w:t>dilligence</w:t>
      </w:r>
      <w:proofErr w:type="spellEnd"/>
      <w:r w:rsidRPr="009A08DD">
        <w:rPr>
          <w:rFonts w:cs="Arial"/>
        </w:rPr>
        <w:t>), a także w toku prowadzonych negocjacji co do warunków umowy sprzedaży Portfela Wierzytelności.</w:t>
      </w:r>
    </w:p>
    <w:p w14:paraId="33B64E27" w14:textId="77777777" w:rsidR="00A129E0" w:rsidRPr="009A08DD" w:rsidRDefault="00A129E0" w:rsidP="00A129E0">
      <w:pPr>
        <w:rPr>
          <w:rFonts w:cs="Arial"/>
          <w:b/>
          <w:bCs/>
        </w:rPr>
      </w:pPr>
    </w:p>
    <w:p w14:paraId="73E1018F" w14:textId="77777777" w:rsidR="00A129E0" w:rsidRPr="009A08DD" w:rsidRDefault="00A129E0" w:rsidP="00A129E0">
      <w:pPr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2</w:t>
      </w:r>
    </w:p>
    <w:p w14:paraId="2787FC8F" w14:textId="77777777" w:rsidR="00872342" w:rsidRPr="009A08DD" w:rsidRDefault="00872342" w:rsidP="00A129E0">
      <w:pPr>
        <w:jc w:val="center"/>
        <w:rPr>
          <w:rFonts w:cs="Arial"/>
          <w:b/>
          <w:bCs/>
        </w:rPr>
      </w:pPr>
    </w:p>
    <w:p w14:paraId="1A05D186" w14:textId="77777777" w:rsidR="00A129E0" w:rsidRPr="009A08DD" w:rsidRDefault="00A129E0" w:rsidP="00A129E0">
      <w:pPr>
        <w:widowControl/>
        <w:numPr>
          <w:ilvl w:val="0"/>
          <w:numId w:val="7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Strony ustalają, że Informacje Poufne w rozumieniu Umowy, oznaczają wszelkie informacje techniczne, technologiczne, ekonomiczne, finansowe, handlowe, prawne, organizacyjne i wszystkie inne dotyczące danej Strony lub jej podmiotów stowarzyszonych, dominujących lub zależnych, jak również wszelkie informacje dotyczące wzajemnej współpracy pomiędzy Stronami, a także dane osobowe, dokumenty związane z Portfelem Wierzytelności oraz wszelkie inne dokumenty znajdujące się w teczkach Portfela Wierzytelności, które to informacje Oferent otrzyma od Banku w jakiejkolwiek postaci podczas procesu badania Portfela Wierzytelności (</w:t>
      </w:r>
      <w:proofErr w:type="spellStart"/>
      <w:r w:rsidRPr="009A08DD">
        <w:rPr>
          <w:rFonts w:cs="Arial"/>
          <w:i/>
          <w:iCs/>
        </w:rPr>
        <w:t>due</w:t>
      </w:r>
      <w:proofErr w:type="spellEnd"/>
      <w:r w:rsidRPr="009A08DD">
        <w:rPr>
          <w:rFonts w:cs="Arial"/>
          <w:i/>
          <w:iCs/>
        </w:rPr>
        <w:t xml:space="preserve"> </w:t>
      </w:r>
      <w:proofErr w:type="spellStart"/>
      <w:r w:rsidRPr="009A08DD">
        <w:rPr>
          <w:rFonts w:cs="Arial"/>
          <w:i/>
          <w:iCs/>
        </w:rPr>
        <w:t>dilligence</w:t>
      </w:r>
      <w:proofErr w:type="spellEnd"/>
      <w:r w:rsidRPr="009A08DD">
        <w:rPr>
          <w:rFonts w:cs="Arial"/>
        </w:rPr>
        <w:t>), a także pozyskane w toku prowadzonych negocjacji co do warunków umowy sprzedaży Portfela Wierzytelności na każdym ich etapie, które to informacje dana Strona:</w:t>
      </w:r>
    </w:p>
    <w:p w14:paraId="6C43BDD8" w14:textId="77777777" w:rsidR="00A129E0" w:rsidRPr="009A08DD" w:rsidRDefault="00A129E0" w:rsidP="00A129E0">
      <w:pPr>
        <w:widowControl/>
        <w:numPr>
          <w:ilvl w:val="0"/>
          <w:numId w:val="13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lastRenderedPageBreak/>
        <w:t xml:space="preserve">otrzyma od drugiej Strony na piśmie, w formie elektronicznej, ustnie lub w innej formie albo w różnych formach jednocześnie, w tym w postaci dokumentów, analiz, raportów, opinii, kompilacji danych lub w innej postaci lub </w:t>
      </w:r>
    </w:p>
    <w:p w14:paraId="7DD70233" w14:textId="77777777" w:rsidR="00A129E0" w:rsidRPr="009A08DD" w:rsidRDefault="00A129E0" w:rsidP="00A129E0">
      <w:pPr>
        <w:widowControl/>
        <w:numPr>
          <w:ilvl w:val="0"/>
          <w:numId w:val="13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uzyska do nich dostęp za pośrednictwem sieci informatycznej lub urządzeń informatycznych drugiej Strony.</w:t>
      </w:r>
    </w:p>
    <w:p w14:paraId="3C7C4CBF" w14:textId="77777777" w:rsidR="00A129E0" w:rsidRPr="009A08DD" w:rsidRDefault="00A129E0" w:rsidP="00A129E0">
      <w:pPr>
        <w:widowControl/>
        <w:numPr>
          <w:ilvl w:val="0"/>
          <w:numId w:val="7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Informacje Poufne obejmują również informacje stanowiące tajemnicę bankową o której mowa w ustawie z dnia 29 sierpnia 1997 r. Prawo bankowe, tajemnicę zawodową o której mowa w ustawie z dnia 29 lipca 2005 r. o obrocie instrumentami finansowymi oraz tajemnicę przedsiębiorstwa (Banku) w rozumieniu ustawy z dnia 16 kwietnia 1993 r. o zwalczaniu nieuczciwej konkurencji.</w:t>
      </w:r>
    </w:p>
    <w:p w14:paraId="07991CB9" w14:textId="77777777" w:rsidR="00A129E0" w:rsidRPr="009A08DD" w:rsidRDefault="00A129E0" w:rsidP="00A129E0">
      <w:pPr>
        <w:widowControl/>
        <w:numPr>
          <w:ilvl w:val="0"/>
          <w:numId w:val="7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Informacje Poufne obejmują również:</w:t>
      </w:r>
    </w:p>
    <w:p w14:paraId="17EF96D0" w14:textId="77777777" w:rsidR="00A129E0" w:rsidRPr="009A08DD" w:rsidRDefault="00A129E0" w:rsidP="00A129E0">
      <w:pPr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informacje, których ujawnienie mogłoby narazić interes publiczny lub prawnie chroniony interes obywateli albo narazić Bank na straty materialne lub utratę reputacji,</w:t>
      </w:r>
    </w:p>
    <w:p w14:paraId="5D79667A" w14:textId="77777777" w:rsidR="00A129E0" w:rsidRPr="009A08DD" w:rsidRDefault="00A129E0" w:rsidP="00A129E0">
      <w:pPr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informacje dotyczące struktury organizacyjnej Banku, w tym informacji dotyczących schematów organizacyjnych, struktury stanowisk pracowników, opisu stanowisk pracy i wewnętrznych regulacji dotyczących określenia zakresu odpowiedzialności,</w:t>
      </w:r>
    </w:p>
    <w:p w14:paraId="155D4A03" w14:textId="77777777" w:rsidR="00A129E0" w:rsidRPr="009A08DD" w:rsidRDefault="00A129E0" w:rsidP="00A129E0">
      <w:pPr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informacje o charakterze technicznym lub objętych tajemnicą handlową Banku, dotyczących w szczególności produktów, procedur i cen, działalności, sytuacji finansowej, rodzaju oferowanych produktów oraz sposobu wykonywania czynności produkcyjnych,</w:t>
      </w:r>
    </w:p>
    <w:p w14:paraId="36ED19F3" w14:textId="77777777" w:rsidR="00A129E0" w:rsidRPr="009A08DD" w:rsidRDefault="00A129E0" w:rsidP="00A129E0">
      <w:pPr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postanowienia Umowy, informacje dotyczące przebiegu negocjacji i wykonywania Umowy,</w:t>
      </w:r>
    </w:p>
    <w:p w14:paraId="41095658" w14:textId="77777777" w:rsidR="00A129E0" w:rsidRPr="009A08DD" w:rsidRDefault="00A129E0" w:rsidP="00A129E0">
      <w:pPr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 xml:space="preserve">dane osobowe pracowników, podwykonawców i wszelkich innych osób, którymi Bank posługuje się przy wykonywaniu Umowy, </w:t>
      </w:r>
      <w:r w:rsidRPr="009A08DD">
        <w:rPr>
          <w:rFonts w:cs="Arial"/>
          <w:color w:val="000000"/>
        </w:rPr>
        <w:t>w rozumieniu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RODO,</w:t>
      </w:r>
    </w:p>
    <w:p w14:paraId="1E424A5C" w14:textId="77777777" w:rsidR="00A129E0" w:rsidRPr="009A08DD" w:rsidRDefault="00A129E0" w:rsidP="009A08DD">
      <w:pPr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  <w:color w:val="000000"/>
        </w:rPr>
        <w:t xml:space="preserve">informacje dotyczące zainstalowanych i stosowanych w obiekcie/-ach Banku systemów alarmowych i środków zabezpieczeń technicznych i mechanicznych, ochrony fizycznej obiektu/-ów Banku, transportów wartości pieniężnych do/z obiektu/-ów Banku, instrukcji, jak również procedur dotyczących właściwego funkcjonowania systemów zabezpieczeń </w:t>
      </w:r>
      <w:r w:rsidRPr="009A08DD">
        <w:rPr>
          <w:rFonts w:cs="Arial"/>
          <w:color w:val="000000"/>
        </w:rPr>
        <w:lastRenderedPageBreak/>
        <w:t>oraz postępowania pracowników Banku oraz innych informacji, których ujawnienie mogłoby mieć wpływ na bezpieczeństwo chronionego/-</w:t>
      </w:r>
      <w:proofErr w:type="spellStart"/>
      <w:r w:rsidRPr="009A08DD">
        <w:rPr>
          <w:rFonts w:cs="Arial"/>
          <w:color w:val="000000"/>
        </w:rPr>
        <w:t>ych</w:t>
      </w:r>
      <w:proofErr w:type="spellEnd"/>
      <w:r w:rsidRPr="009A08DD">
        <w:rPr>
          <w:rFonts w:cs="Arial"/>
          <w:color w:val="000000"/>
        </w:rPr>
        <w:t xml:space="preserve"> obiektu/-ów i całego Banku,  </w:t>
      </w:r>
    </w:p>
    <w:p w14:paraId="702B5D79" w14:textId="4F7CEAD6" w:rsidR="00A129E0" w:rsidRPr="009A08DD" w:rsidRDefault="003D2475" w:rsidP="00A129E0">
      <w:pPr>
        <w:spacing w:line="360" w:lineRule="auto"/>
        <w:ind w:left="284"/>
        <w:jc w:val="both"/>
        <w:rPr>
          <w:rFonts w:cs="Arial"/>
        </w:rPr>
      </w:pPr>
      <w:r w:rsidRPr="009A08DD">
        <w:rPr>
          <w:rFonts w:cs="Arial"/>
        </w:rPr>
        <w:t xml:space="preserve"> </w:t>
      </w:r>
      <w:r w:rsidR="00A129E0" w:rsidRPr="009A08DD">
        <w:rPr>
          <w:rFonts w:cs="Arial"/>
        </w:rPr>
        <w:t xml:space="preserve">– </w:t>
      </w:r>
      <w:r w:rsidRPr="009A08DD">
        <w:rPr>
          <w:rFonts w:cs="Arial"/>
        </w:rPr>
        <w:t xml:space="preserve">  </w:t>
      </w:r>
      <w:r w:rsidR="00A129E0" w:rsidRPr="009A08DD">
        <w:rPr>
          <w:rFonts w:cs="Arial"/>
        </w:rPr>
        <w:t>które to informacje Oferent otrzyma od Banku bądź pozyska w inny sposób, w jakiejkolwiek postaci podczas procesu badania Portfela Wierzytelności (</w:t>
      </w:r>
      <w:proofErr w:type="spellStart"/>
      <w:r w:rsidR="00A129E0" w:rsidRPr="009A08DD">
        <w:rPr>
          <w:rFonts w:cs="Arial"/>
          <w:i/>
          <w:iCs/>
        </w:rPr>
        <w:t>due</w:t>
      </w:r>
      <w:proofErr w:type="spellEnd"/>
      <w:r w:rsidR="00A129E0" w:rsidRPr="009A08DD">
        <w:rPr>
          <w:rFonts w:cs="Arial"/>
          <w:i/>
          <w:iCs/>
        </w:rPr>
        <w:t xml:space="preserve"> </w:t>
      </w:r>
      <w:proofErr w:type="spellStart"/>
      <w:r w:rsidR="00A129E0" w:rsidRPr="009A08DD">
        <w:rPr>
          <w:rFonts w:cs="Arial"/>
          <w:i/>
          <w:iCs/>
        </w:rPr>
        <w:t>dilligence</w:t>
      </w:r>
      <w:proofErr w:type="spellEnd"/>
      <w:r w:rsidR="00A129E0" w:rsidRPr="009A08DD">
        <w:rPr>
          <w:rFonts w:cs="Arial"/>
        </w:rPr>
        <w:t>), a także pozyskane w toku prowadzonych negocjacji co do warunków umowy sprzedaży Portfela Wierzytelności na każdym ich etapie.</w:t>
      </w:r>
    </w:p>
    <w:p w14:paraId="4AADD1AF" w14:textId="77777777" w:rsidR="00A129E0" w:rsidRPr="009A08DD" w:rsidRDefault="00A129E0" w:rsidP="00A129E0">
      <w:pPr>
        <w:ind w:left="284"/>
        <w:jc w:val="both"/>
        <w:rPr>
          <w:rFonts w:cs="Arial"/>
        </w:rPr>
      </w:pPr>
    </w:p>
    <w:p w14:paraId="0952019E" w14:textId="77777777" w:rsidR="00A129E0" w:rsidRPr="009A08DD" w:rsidRDefault="00A129E0" w:rsidP="00A129E0">
      <w:pPr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3</w:t>
      </w:r>
    </w:p>
    <w:p w14:paraId="00025DAC" w14:textId="77777777" w:rsidR="00872342" w:rsidRPr="009A08DD" w:rsidRDefault="00872342" w:rsidP="00A129E0">
      <w:pPr>
        <w:jc w:val="center"/>
        <w:rPr>
          <w:rFonts w:cs="Arial"/>
          <w:b/>
          <w:bCs/>
        </w:rPr>
      </w:pPr>
    </w:p>
    <w:p w14:paraId="2A14B21D" w14:textId="77777777" w:rsidR="00A129E0" w:rsidRPr="009A08DD" w:rsidRDefault="00A129E0" w:rsidP="00A129E0">
      <w:pPr>
        <w:widowControl/>
        <w:numPr>
          <w:ilvl w:val="0"/>
          <w:numId w:val="9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  <w:u w:val="single"/>
        </w:rPr>
        <w:t>Oferent zobowiązuje się do zachowania w tajemnicy otrzymanych bądź pozyskanych Informacji Poufnych</w:t>
      </w:r>
      <w:r w:rsidRPr="009A08DD">
        <w:rPr>
          <w:rFonts w:cs="Arial"/>
        </w:rPr>
        <w:t>.</w:t>
      </w:r>
    </w:p>
    <w:p w14:paraId="7701C059" w14:textId="535FC99E" w:rsidR="00A129E0" w:rsidRPr="009A08DD" w:rsidRDefault="00A129E0" w:rsidP="00A129E0">
      <w:pPr>
        <w:widowControl/>
        <w:numPr>
          <w:ilvl w:val="0"/>
          <w:numId w:val="9"/>
        </w:numPr>
        <w:autoSpaceDE/>
        <w:autoSpaceDN/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Oferent zobowiązuje się wykorzystywać Informacje Poufne wyłącznie w celu określonym w § 1 Umowy. Informacje Poufne zachowane zostaną w całkowitej tajemnicy i nie będą ujawniane przez Oferenta ani w całości, ani w części jakimkolwiek innym osobom i podmiotom.</w:t>
      </w:r>
    </w:p>
    <w:p w14:paraId="193D10EB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3.</w:t>
      </w:r>
      <w:r w:rsidRPr="009A08DD">
        <w:rPr>
          <w:rFonts w:cs="Arial"/>
        </w:rPr>
        <w:tab/>
        <w:t xml:space="preserve">Oferent zobowiązuje się do nieujawniania Informacji Poufnych osobom trzecim bez pisemnej zgody Banku. </w:t>
      </w:r>
    </w:p>
    <w:p w14:paraId="56BEC124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4.</w:t>
      </w:r>
      <w:r w:rsidRPr="009A08DD">
        <w:rPr>
          <w:rFonts w:cs="Arial"/>
        </w:rPr>
        <w:tab/>
        <w:t>Oferent zobowiązuje się do ochrony Informacji Poufnych, w tym do ich zabezpieczenia w taki sposób, by osoby nieupoważnione nie miały do nich dostępu.</w:t>
      </w:r>
    </w:p>
    <w:p w14:paraId="6F045DA3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5.</w:t>
      </w:r>
      <w:r w:rsidRPr="009A08DD">
        <w:rPr>
          <w:rFonts w:cs="Arial"/>
        </w:rPr>
        <w:tab/>
        <w:t xml:space="preserve">Obowiązek zachowania Informacji Poufnych w tajemnicy nie dotyczy informacji publicznie dostępnych. Oferent zwolniony jest z obowiązku zachowania w tajemnicy Informacji Poufnych w przypadku, gdy ich ujawnienia żąda uprawniony organ w zakresie wymaganym przepisami prawa. O takim obowiązku ujawnienia lub przekazania na wezwanie organu Informacji Poufnych Oferent niezwłocznie poinformuje Bank, o ile nie będzie to niezgodne z powszechnie obowiązującymi przepisami prawa. </w:t>
      </w:r>
    </w:p>
    <w:p w14:paraId="15893512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>6. Oferent może ujawnić Informacje Poufne swoim doradcom prawnym, ekonomicznym, finansowym i informatycznym, po odebraniu od nich stosownego oświadczenia o zachowaniu poufności.</w:t>
      </w:r>
    </w:p>
    <w:p w14:paraId="4BC5BAF2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7. </w:t>
      </w:r>
      <w:r w:rsidRPr="009A08DD">
        <w:rPr>
          <w:rFonts w:cs="Arial"/>
        </w:rPr>
        <w:tab/>
        <w:t xml:space="preserve">Oferent zobowiązany jest uprzedzić każdego pracownika lub inną osobę, której ujawniane są Informacje Poufne, o ich poufnym charakterze i obowiązkach z tym związanych. </w:t>
      </w:r>
    </w:p>
    <w:p w14:paraId="7BA1B3B9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8. </w:t>
      </w:r>
      <w:r w:rsidRPr="009A08DD">
        <w:rPr>
          <w:rFonts w:cs="Arial"/>
        </w:rPr>
        <w:tab/>
        <w:t xml:space="preserve">Bank ma prawo na własny koszt zlecić firmie zewnętrznej dokonanie audytu bezpieczeństwa </w:t>
      </w:r>
      <w:r w:rsidRPr="009A08DD">
        <w:rPr>
          <w:rFonts w:cs="Arial"/>
        </w:rPr>
        <w:br/>
        <w:t xml:space="preserve">u Oferenta w zakresie przestrzegania zasad i procedur dotyczących ochrony Informacji </w:t>
      </w:r>
      <w:r w:rsidRPr="009A08DD">
        <w:rPr>
          <w:rFonts w:cs="Arial"/>
        </w:rPr>
        <w:lastRenderedPageBreak/>
        <w:t xml:space="preserve">Poufnych. Oferent udostępni audytorowi dokumenty i informacje niezbędne dla przeprowadzenia audytu. </w:t>
      </w:r>
    </w:p>
    <w:p w14:paraId="0578A9EF" w14:textId="5E6AEFCE" w:rsidR="00A129E0" w:rsidRPr="009A08DD" w:rsidRDefault="00A129E0" w:rsidP="00872342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9. W przypadku zawarcia przez Bank i Oferenta umowy sprzedaży Portfela Wierzytelności, </w:t>
      </w:r>
      <w:r w:rsidR="00872342" w:rsidRPr="009A08DD">
        <w:rPr>
          <w:rFonts w:cs="Arial"/>
        </w:rPr>
        <w:t xml:space="preserve"> </w:t>
      </w:r>
      <w:r w:rsidR="003D2475" w:rsidRPr="009A08DD">
        <w:rPr>
          <w:rFonts w:cs="Arial"/>
        </w:rPr>
        <w:t xml:space="preserve">   </w:t>
      </w:r>
      <w:r w:rsidRPr="009A08DD">
        <w:rPr>
          <w:rFonts w:cs="Arial"/>
        </w:rPr>
        <w:t>obowiązek zachowania Informacji Poufnych w tajemnicy nie dotyczy Informacji Poufnych,</w:t>
      </w:r>
      <w:r w:rsidR="003D2475" w:rsidRPr="009A08DD">
        <w:rPr>
          <w:rFonts w:cs="Arial"/>
        </w:rPr>
        <w:t xml:space="preserve"> </w:t>
      </w:r>
      <w:r w:rsidRPr="009A08DD">
        <w:rPr>
          <w:rFonts w:cs="Arial"/>
        </w:rPr>
        <w:t>których ujawnienie jest niezbędne do dochodzenia Portfela Wierzytelności lub zbycia Portfela Wierzytelności przez Oferenta.</w:t>
      </w:r>
    </w:p>
    <w:p w14:paraId="011BF4B1" w14:textId="77777777" w:rsidR="00A129E0" w:rsidRPr="009A08DD" w:rsidRDefault="00A129E0" w:rsidP="00A129E0">
      <w:pPr>
        <w:ind w:left="284" w:hanging="284"/>
        <w:jc w:val="both"/>
        <w:rPr>
          <w:rFonts w:cs="Arial"/>
        </w:rPr>
      </w:pPr>
    </w:p>
    <w:p w14:paraId="2886ECFD" w14:textId="77777777" w:rsidR="00A129E0" w:rsidRPr="009A08DD" w:rsidRDefault="00A129E0" w:rsidP="00A129E0">
      <w:pPr>
        <w:spacing w:line="360" w:lineRule="auto"/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4</w:t>
      </w:r>
    </w:p>
    <w:p w14:paraId="5F61DF41" w14:textId="77777777" w:rsidR="00872342" w:rsidRPr="009A08DD" w:rsidRDefault="00872342" w:rsidP="00A129E0">
      <w:pPr>
        <w:spacing w:line="360" w:lineRule="auto"/>
        <w:jc w:val="center"/>
        <w:rPr>
          <w:rFonts w:cs="Arial"/>
          <w:b/>
          <w:bCs/>
        </w:rPr>
      </w:pPr>
    </w:p>
    <w:p w14:paraId="5B3E72B6" w14:textId="77777777" w:rsidR="00A129E0" w:rsidRPr="009A08DD" w:rsidRDefault="00A129E0" w:rsidP="00A129E0">
      <w:pPr>
        <w:pStyle w:val="Akapitzlist"/>
        <w:widowControl/>
        <w:numPr>
          <w:ilvl w:val="3"/>
          <w:numId w:val="10"/>
        </w:numPr>
        <w:tabs>
          <w:tab w:val="clear" w:pos="3228"/>
          <w:tab w:val="num" w:pos="-567"/>
        </w:tabs>
        <w:autoSpaceDE/>
        <w:autoSpaceDN/>
        <w:spacing w:line="360" w:lineRule="auto"/>
        <w:ind w:left="284" w:hanging="284"/>
        <w:contextualSpacing/>
        <w:jc w:val="both"/>
        <w:rPr>
          <w:rFonts w:cs="Arial"/>
        </w:rPr>
      </w:pPr>
      <w:r w:rsidRPr="009A08DD">
        <w:rPr>
          <w:rFonts w:cs="Arial"/>
        </w:rPr>
        <w:t>Oferent oświadcza, że dysponuje stosownymi środkami, procedurami i zabezpieczeniami umożliwiającymi zachowanie w tajemnicy Informacji Poufnych, w tym ochronę przed dostępem osób trzecich.</w:t>
      </w:r>
    </w:p>
    <w:p w14:paraId="05C39C6E" w14:textId="77777777" w:rsidR="00A129E0" w:rsidRPr="009A08DD" w:rsidRDefault="00A129E0" w:rsidP="00A129E0">
      <w:pPr>
        <w:pStyle w:val="Akapitzlist"/>
        <w:widowControl/>
        <w:numPr>
          <w:ilvl w:val="3"/>
          <w:numId w:val="10"/>
        </w:numPr>
        <w:tabs>
          <w:tab w:val="clear" w:pos="3228"/>
          <w:tab w:val="num" w:pos="-567"/>
        </w:tabs>
        <w:autoSpaceDE/>
        <w:autoSpaceDN/>
        <w:spacing w:line="360" w:lineRule="auto"/>
        <w:ind w:left="284" w:hanging="284"/>
        <w:contextualSpacing/>
        <w:jc w:val="both"/>
        <w:rPr>
          <w:rFonts w:cs="Arial"/>
        </w:rPr>
      </w:pPr>
      <w:r w:rsidRPr="009A08DD">
        <w:rPr>
          <w:rFonts w:cs="Arial"/>
        </w:rPr>
        <w:t>Oferent oświadcza, że w przypadku unieważnienia procesu sprzedaży Portfela Wierzytelności, bądź niewyrażenia przez władze Banku zgody na zawarcie umowy sprzedaży Portfela Wierzytelności, nie będzie występować w stosunku do Banku z żadnymi roszczeniami z tego tytułu, a w szczególności z tytułu poniesionych kosztów związanych z udziałem w procesie sprzedaży, negocjacjach oraz związanych z przygotowaniem i złożeniem oferty.</w:t>
      </w:r>
    </w:p>
    <w:p w14:paraId="3C54DDC3" w14:textId="77777777" w:rsidR="00A129E0" w:rsidRPr="009A08DD" w:rsidRDefault="00A129E0" w:rsidP="00A129E0">
      <w:pPr>
        <w:pStyle w:val="Akapitzlist"/>
        <w:widowControl/>
        <w:numPr>
          <w:ilvl w:val="3"/>
          <w:numId w:val="10"/>
        </w:numPr>
        <w:tabs>
          <w:tab w:val="clear" w:pos="3228"/>
          <w:tab w:val="num" w:pos="-567"/>
        </w:tabs>
        <w:autoSpaceDE/>
        <w:autoSpaceDN/>
        <w:spacing w:line="360" w:lineRule="auto"/>
        <w:ind w:left="284" w:hanging="284"/>
        <w:contextualSpacing/>
        <w:jc w:val="both"/>
        <w:rPr>
          <w:rFonts w:cs="Arial"/>
        </w:rPr>
      </w:pPr>
      <w:r w:rsidRPr="009A08DD">
        <w:rPr>
          <w:rFonts w:cs="Arial"/>
        </w:rPr>
        <w:t>Oferent zobowiązuje się do podjęcia wszelkich niezbędnych działań mających na celu ochronę Informacji Poufnych, a w szczególności zobowiązuje się do:</w:t>
      </w:r>
    </w:p>
    <w:p w14:paraId="1ECC455A" w14:textId="77777777" w:rsidR="00A129E0" w:rsidRPr="009A08DD" w:rsidRDefault="00A129E0" w:rsidP="00A129E0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567" w:hanging="283"/>
        <w:contextualSpacing/>
        <w:jc w:val="both"/>
        <w:rPr>
          <w:rFonts w:cs="Arial"/>
        </w:rPr>
      </w:pPr>
      <w:r w:rsidRPr="009A08DD">
        <w:rPr>
          <w:rFonts w:cs="Arial"/>
        </w:rPr>
        <w:t>zobowiązania członków swoich władz, pracowników, doradców prawnych, ekonomicznych, finansowych i informatycznych i innych osób, którzy uczestniczą lub będą uczestniczyć w realizacji Umowy do zachowania poufności zgodnie z postanowieniami Umowy,</w:t>
      </w:r>
    </w:p>
    <w:p w14:paraId="1D8D5A6D" w14:textId="77777777" w:rsidR="00A129E0" w:rsidRPr="009A08DD" w:rsidRDefault="00A129E0" w:rsidP="00A129E0">
      <w:pPr>
        <w:pStyle w:val="Akapitzlist"/>
        <w:widowControl/>
        <w:numPr>
          <w:ilvl w:val="0"/>
          <w:numId w:val="11"/>
        </w:numPr>
        <w:autoSpaceDE/>
        <w:autoSpaceDN/>
        <w:spacing w:line="360" w:lineRule="auto"/>
        <w:ind w:left="567" w:hanging="283"/>
        <w:contextualSpacing/>
        <w:jc w:val="both"/>
        <w:rPr>
          <w:rFonts w:cs="Arial"/>
        </w:rPr>
      </w:pPr>
      <w:r w:rsidRPr="009A08DD">
        <w:rPr>
          <w:rFonts w:cs="Arial"/>
        </w:rPr>
        <w:t>zapewnienia, że Informacje Poufne dostępne będą jedynie tym członkom swoich władz, pracownikom, doradcom prawnym, ekonomicznym, finansowym i informatycznym i innym osobom, których dostęp do Informacji Poufnych jest niezbędny do prawidłowego wykonywania Umowy.</w:t>
      </w:r>
    </w:p>
    <w:p w14:paraId="52D2BB13" w14:textId="77777777" w:rsidR="00A129E0" w:rsidRPr="009A08DD" w:rsidRDefault="00A129E0" w:rsidP="00A129E0">
      <w:pPr>
        <w:widowControl/>
        <w:numPr>
          <w:ilvl w:val="3"/>
          <w:numId w:val="10"/>
        </w:numPr>
        <w:tabs>
          <w:tab w:val="clear" w:pos="3228"/>
          <w:tab w:val="num" w:pos="284"/>
        </w:tabs>
        <w:autoSpaceDE/>
        <w:autoSpaceDN/>
        <w:spacing w:line="360" w:lineRule="auto"/>
        <w:ind w:hanging="3228"/>
        <w:jc w:val="both"/>
        <w:rPr>
          <w:rFonts w:cs="Arial"/>
        </w:rPr>
      </w:pPr>
      <w:r w:rsidRPr="009A08DD">
        <w:rPr>
          <w:rFonts w:cs="Arial"/>
          <w:u w:val="single"/>
        </w:rPr>
        <w:t>Oferent zobowiązuje się ponadto do</w:t>
      </w:r>
      <w:r w:rsidRPr="009A08DD">
        <w:rPr>
          <w:rFonts w:cs="Arial"/>
        </w:rPr>
        <w:t>:</w:t>
      </w:r>
    </w:p>
    <w:p w14:paraId="795F9992" w14:textId="77777777" w:rsidR="00A129E0" w:rsidRPr="009A08DD" w:rsidRDefault="00A129E0" w:rsidP="00A129E0">
      <w:pPr>
        <w:widowControl/>
        <w:numPr>
          <w:ilvl w:val="0"/>
          <w:numId w:val="4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 xml:space="preserve">nie kopiowania, nie powielania, nie fotografowania jak również nie wprowadzania do informatycznych nośników pamięci lub do systemu informatycznego Informacji Poufnych, chyba, że będzie to niezbędne w celu należytego wykonywania badania Portfela </w:t>
      </w:r>
      <w:r w:rsidRPr="009A08DD">
        <w:rPr>
          <w:rFonts w:cs="Arial"/>
        </w:rPr>
        <w:lastRenderedPageBreak/>
        <w:t>Wierzytelności (</w:t>
      </w:r>
      <w:proofErr w:type="spellStart"/>
      <w:r w:rsidRPr="009A08DD">
        <w:rPr>
          <w:rFonts w:cs="Arial"/>
          <w:i/>
          <w:iCs/>
        </w:rPr>
        <w:t>due</w:t>
      </w:r>
      <w:proofErr w:type="spellEnd"/>
      <w:r w:rsidRPr="009A08DD">
        <w:rPr>
          <w:rFonts w:cs="Arial"/>
          <w:i/>
          <w:iCs/>
        </w:rPr>
        <w:t xml:space="preserve"> </w:t>
      </w:r>
      <w:proofErr w:type="spellStart"/>
      <w:r w:rsidRPr="009A08DD">
        <w:rPr>
          <w:rFonts w:cs="Arial"/>
          <w:i/>
          <w:iCs/>
        </w:rPr>
        <w:t>dilligence</w:t>
      </w:r>
      <w:proofErr w:type="spellEnd"/>
      <w:r w:rsidRPr="009A08DD">
        <w:rPr>
          <w:rFonts w:cs="Arial"/>
        </w:rPr>
        <w:t xml:space="preserve">), a także prowadzenia negocjacji co do warunków umowy sprzedaży Portfela Wierzytelności; </w:t>
      </w:r>
    </w:p>
    <w:p w14:paraId="639375CA" w14:textId="77777777" w:rsidR="00A129E0" w:rsidRPr="009A08DD" w:rsidRDefault="00A129E0" w:rsidP="00A129E0">
      <w:pPr>
        <w:widowControl/>
        <w:numPr>
          <w:ilvl w:val="0"/>
          <w:numId w:val="4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do zachowania w tajemnicy źródeł Informacji Poufnych i metod ich pozyskiwania nie ujawnionych do wiadomości publicznej;</w:t>
      </w:r>
    </w:p>
    <w:p w14:paraId="681BEC72" w14:textId="77777777" w:rsidR="003D2475" w:rsidRPr="009A08DD" w:rsidRDefault="00A129E0" w:rsidP="00A129E0">
      <w:pPr>
        <w:widowControl/>
        <w:numPr>
          <w:ilvl w:val="0"/>
          <w:numId w:val="4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 xml:space="preserve">do ciągłego podejmowania środków ostrożności, mających na celu zachowanie poufności i ochrony Informacji Poufnych, przy czym środki takie w żadnym wypadku nie będą mniejsze </w:t>
      </w:r>
    </w:p>
    <w:p w14:paraId="2B1ABB0C" w14:textId="4280F3F6" w:rsidR="00A129E0" w:rsidRPr="009A08DD" w:rsidRDefault="00A129E0" w:rsidP="003D2475">
      <w:pPr>
        <w:widowControl/>
        <w:autoSpaceDE/>
        <w:autoSpaceDN/>
        <w:spacing w:line="360" w:lineRule="auto"/>
        <w:ind w:left="567"/>
        <w:jc w:val="both"/>
        <w:rPr>
          <w:rFonts w:cs="Arial"/>
        </w:rPr>
      </w:pPr>
      <w:r w:rsidRPr="009A08DD">
        <w:rPr>
          <w:rFonts w:cs="Arial"/>
        </w:rPr>
        <w:t>niż te, które Oferent podejmuje w celu ochrony własnych informacji poufnych, przy czym Oferent oświadcza, że wprowadził zasady i procedury zapewniające adekwatną ochronę jego własnym informacjom poufnym;</w:t>
      </w:r>
    </w:p>
    <w:p w14:paraId="3B868E15" w14:textId="77777777" w:rsidR="00A129E0" w:rsidRPr="009A08DD" w:rsidRDefault="00A129E0" w:rsidP="00A129E0">
      <w:pPr>
        <w:widowControl/>
        <w:numPr>
          <w:ilvl w:val="0"/>
          <w:numId w:val="4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nie przekazywania, nie ujawniania, nie wykorzystywania, nie zbywania, ani nie oferowania do zbycia Informacji Poufnych;</w:t>
      </w:r>
    </w:p>
    <w:p w14:paraId="3405837C" w14:textId="77777777" w:rsidR="00A129E0" w:rsidRPr="009A08DD" w:rsidRDefault="00A129E0" w:rsidP="00A129E0">
      <w:pPr>
        <w:widowControl/>
        <w:numPr>
          <w:ilvl w:val="0"/>
          <w:numId w:val="4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zapewnienia odpowiedniego i bezpiecznego sposobu przechowywania Informacji Poufnych;</w:t>
      </w:r>
    </w:p>
    <w:p w14:paraId="52920D4E" w14:textId="77777777" w:rsidR="00A129E0" w:rsidRPr="009A08DD" w:rsidRDefault="00A129E0" w:rsidP="00A129E0">
      <w:pPr>
        <w:widowControl/>
        <w:numPr>
          <w:ilvl w:val="0"/>
          <w:numId w:val="4"/>
        </w:numPr>
        <w:autoSpaceDE/>
        <w:autoSpaceDN/>
        <w:spacing w:line="360" w:lineRule="auto"/>
        <w:ind w:left="567" w:hanging="283"/>
        <w:jc w:val="both"/>
        <w:rPr>
          <w:rFonts w:cs="Arial"/>
        </w:rPr>
      </w:pPr>
      <w:r w:rsidRPr="009A08DD">
        <w:rPr>
          <w:rFonts w:cs="Arial"/>
        </w:rPr>
        <w:t>udzielenia dostępu do Informacji Poufnych wyłącznie osobom biorącym udział przy wykonywaniu badania Portfela Wierzytelności (</w:t>
      </w:r>
      <w:proofErr w:type="spellStart"/>
      <w:r w:rsidRPr="009A08DD">
        <w:rPr>
          <w:rFonts w:cs="Arial"/>
          <w:i/>
          <w:iCs/>
        </w:rPr>
        <w:t>due</w:t>
      </w:r>
      <w:proofErr w:type="spellEnd"/>
      <w:r w:rsidRPr="009A08DD">
        <w:rPr>
          <w:rFonts w:cs="Arial"/>
          <w:i/>
          <w:iCs/>
        </w:rPr>
        <w:t xml:space="preserve"> </w:t>
      </w:r>
      <w:proofErr w:type="spellStart"/>
      <w:r w:rsidRPr="009A08DD">
        <w:rPr>
          <w:rFonts w:cs="Arial"/>
          <w:i/>
          <w:iCs/>
        </w:rPr>
        <w:t>dilligence</w:t>
      </w:r>
      <w:proofErr w:type="spellEnd"/>
      <w:r w:rsidRPr="009A08DD">
        <w:rPr>
          <w:rFonts w:cs="Arial"/>
        </w:rPr>
        <w:t>), a także prowadzenia negocjacji co do warunków umowy sprzedaży Portfela Wierzytelności.</w:t>
      </w:r>
    </w:p>
    <w:p w14:paraId="48153A55" w14:textId="77777777" w:rsidR="00A129E0" w:rsidRPr="009A08DD" w:rsidRDefault="00A129E0" w:rsidP="00A129E0">
      <w:pPr>
        <w:spacing w:line="360" w:lineRule="auto"/>
        <w:ind w:left="284" w:hanging="284"/>
        <w:jc w:val="both"/>
        <w:rPr>
          <w:rFonts w:cs="Arial"/>
        </w:rPr>
      </w:pPr>
      <w:r w:rsidRPr="009A08DD">
        <w:rPr>
          <w:rFonts w:cs="Arial"/>
        </w:rPr>
        <w:t xml:space="preserve">4. </w:t>
      </w:r>
      <w:r w:rsidRPr="009A08DD">
        <w:rPr>
          <w:rFonts w:cs="Arial"/>
        </w:rPr>
        <w:tab/>
        <w:t>W przypadku powzięcia przez Oferenta co najmniej uzasadnionego podejrzenia, że jakakolwiek osoba lub podmiot nieuprawiony weszła w posiadanie Informacji Poufnych pozostających w dyspozycji Oferenta, Oferent zobowiązany jest do natychmiastowego zawiadomienia Banku o takim fakcie oraz do podjęcia wszelkich niezbędnych czynności zabezpieczających.</w:t>
      </w:r>
    </w:p>
    <w:p w14:paraId="716BB647" w14:textId="77777777" w:rsidR="00A129E0" w:rsidRPr="009A08DD" w:rsidRDefault="00A129E0" w:rsidP="00A129E0">
      <w:pPr>
        <w:rPr>
          <w:rFonts w:cs="Arial"/>
          <w:b/>
          <w:bCs/>
        </w:rPr>
      </w:pPr>
    </w:p>
    <w:p w14:paraId="4C3CB51B" w14:textId="77777777" w:rsidR="00A129E0" w:rsidRPr="009A08DD" w:rsidRDefault="00A129E0" w:rsidP="00A129E0">
      <w:pPr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5</w:t>
      </w:r>
    </w:p>
    <w:p w14:paraId="581D6D6D" w14:textId="77777777" w:rsidR="00872342" w:rsidRPr="009A08DD" w:rsidRDefault="00872342" w:rsidP="00A129E0">
      <w:pPr>
        <w:jc w:val="center"/>
        <w:rPr>
          <w:rFonts w:cs="Arial"/>
          <w:b/>
          <w:bCs/>
        </w:rPr>
      </w:pPr>
    </w:p>
    <w:p w14:paraId="4FFCBBA0" w14:textId="3A1E6036" w:rsidR="00A129E0" w:rsidRPr="009A08DD" w:rsidRDefault="00A129E0" w:rsidP="00A129E0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>Po zakończeniu okresu na który Umowa została zawarta, Oferent zobowiązuje się do zwrotu Bankowi, w terminie 14 dni wszystkich Informacji Poufnych, o ile zwrot ten będzie możliwy z uwagi na formę przekazania bądź uzyskania Informacji Poufnych.</w:t>
      </w:r>
    </w:p>
    <w:p w14:paraId="2DB6DBC4" w14:textId="77777777" w:rsidR="00A129E0" w:rsidRPr="009A08DD" w:rsidRDefault="00A129E0" w:rsidP="00A129E0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 xml:space="preserve">W przypadku braku możliwości zwrotu Informacji Poufnych, Oferent zobowiązuje się do ich zniszczenia w terminie 14 dni po zakończeniu okresu na który Umowa została zawarta, o ile zniszczenie Informacji Poufnych możliwe będzie z uwagi na sposób ich przechowywania, przekazania lub uzyskania. Zniszczenie Informacji Poufnych dotyczy w szczególności, lecz </w:t>
      </w:r>
      <w:r w:rsidRPr="009A08DD">
        <w:rPr>
          <w:rFonts w:cs="Arial"/>
          <w:bCs/>
        </w:rPr>
        <w:lastRenderedPageBreak/>
        <w:t xml:space="preserve">niewyłącznie, Informacji Poufnych, które znajdą się w posiadaniu Oferenta w postaci dokumentów lub w postaci elektronicznej w systemie informatycznym Oferenta Strony lub na </w:t>
      </w:r>
      <w:r w:rsidRPr="009A08DD">
        <w:rPr>
          <w:rFonts w:cs="Arial"/>
        </w:rPr>
        <w:t>informatycznych nośnikach pamięci, z wyłączeniem kopii zapasowych danych tworzonych przez Oferenta</w:t>
      </w:r>
      <w:r w:rsidRPr="009A08DD">
        <w:rPr>
          <w:rFonts w:cs="Arial"/>
          <w:bCs/>
        </w:rPr>
        <w:t>. Każde zniszczenie informacji poufnych musi być potwierdzone protokołami zniszczenia.</w:t>
      </w:r>
    </w:p>
    <w:p w14:paraId="5B19C498" w14:textId="77777777" w:rsidR="00A129E0" w:rsidRPr="009A08DD" w:rsidRDefault="00A129E0" w:rsidP="00A129E0">
      <w:pPr>
        <w:widowControl/>
        <w:numPr>
          <w:ilvl w:val="0"/>
          <w:numId w:val="5"/>
        </w:numPr>
        <w:tabs>
          <w:tab w:val="clear" w:pos="720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 xml:space="preserve">W trakcie wykonywania Umowy, na pisemne wezwanie Banku, Oferent zobowiązuje się do zwrotu lub zniszczenia Informacji Poufnych wskazanych w wezwaniu, zgodnie z postanowieniami ust. 1 i 2 powyżej. </w:t>
      </w:r>
    </w:p>
    <w:p w14:paraId="0697E59F" w14:textId="77777777" w:rsidR="00A129E0" w:rsidRPr="009A08DD" w:rsidRDefault="00A129E0" w:rsidP="00A129E0">
      <w:pPr>
        <w:widowControl/>
        <w:numPr>
          <w:ilvl w:val="0"/>
          <w:numId w:val="5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>Oferent na żądanie Banku złoży oświadczenie o wykonaniu i sposobie wykonania zobowiązań określonych w ust. 1, 2, 3 powyżej.</w:t>
      </w:r>
    </w:p>
    <w:p w14:paraId="0C50B58B" w14:textId="77777777" w:rsidR="00A129E0" w:rsidRPr="009A08DD" w:rsidRDefault="00A129E0" w:rsidP="00A129E0">
      <w:pPr>
        <w:widowControl/>
        <w:numPr>
          <w:ilvl w:val="0"/>
          <w:numId w:val="5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Oferent ponosi pełną odpowiedzialność za każde naruszenie obowiązków wynikających z Umowy jak również za zaniechanie, w szczególności przez swoje władze, pracowników, współpracowników i inne osoby, które uzyskały dostęp do Informacji poufnych w trakcie wykonywania Umowy oraz zobowiązuje się naprawić w takiej sytuacji szkodę poniesioną przez Bank.</w:t>
      </w:r>
    </w:p>
    <w:p w14:paraId="0F51527E" w14:textId="77777777" w:rsidR="00A129E0" w:rsidRPr="009A08DD" w:rsidRDefault="00A129E0" w:rsidP="00A129E0">
      <w:pPr>
        <w:widowControl/>
        <w:numPr>
          <w:ilvl w:val="0"/>
          <w:numId w:val="5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Niezależnie od postanowień zawartych w ust. 5 powyżej, za każde naruszenie warunków Umowy, Oferent zobowiązany jest do zapłaty Bankowi kary umownej w wysokości 1.000.000,00 zł (słownie złotych: jeden milion). Bank zastrzega prawo dochodzenia odszkodowania na zasadach ogólnych, gdy wysokość szkody będzie wyższa niż kwota kary umownej.</w:t>
      </w:r>
    </w:p>
    <w:p w14:paraId="3DD659B4" w14:textId="77777777" w:rsidR="00A129E0" w:rsidRPr="009A08DD" w:rsidRDefault="00A129E0" w:rsidP="00A129E0">
      <w:pPr>
        <w:rPr>
          <w:rFonts w:cs="Arial"/>
          <w:b/>
          <w:bCs/>
        </w:rPr>
      </w:pPr>
    </w:p>
    <w:p w14:paraId="633C357D" w14:textId="77777777" w:rsidR="00A129E0" w:rsidRPr="009A08DD" w:rsidRDefault="00A129E0" w:rsidP="00A129E0">
      <w:pPr>
        <w:spacing w:line="360" w:lineRule="auto"/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6</w:t>
      </w:r>
    </w:p>
    <w:p w14:paraId="17DCFA38" w14:textId="77777777" w:rsidR="00A129E0" w:rsidRPr="009A08DD" w:rsidRDefault="00A129E0" w:rsidP="00A129E0">
      <w:pPr>
        <w:widowControl/>
        <w:numPr>
          <w:ilvl w:val="6"/>
          <w:numId w:val="10"/>
        </w:numPr>
        <w:tabs>
          <w:tab w:val="clear" w:pos="5388"/>
          <w:tab w:val="num" w:pos="284"/>
        </w:tabs>
        <w:suppressAutoHyphens/>
        <w:autoSpaceDE/>
        <w:autoSpaceDN/>
        <w:spacing w:line="360" w:lineRule="auto"/>
        <w:ind w:hanging="5388"/>
        <w:jc w:val="both"/>
        <w:rPr>
          <w:rFonts w:cs="Arial"/>
          <w:bCs/>
        </w:rPr>
      </w:pPr>
      <w:r w:rsidRPr="009A08DD">
        <w:rPr>
          <w:rFonts w:cs="Arial"/>
        </w:rPr>
        <w:t xml:space="preserve">Osobami do kontaktu w trakcie obowiązywania Umowy są pracownicy: </w:t>
      </w:r>
    </w:p>
    <w:p w14:paraId="1377E8D9" w14:textId="77777777" w:rsidR="00A129E0" w:rsidRPr="009A08DD" w:rsidRDefault="00A129E0" w:rsidP="00A129E0">
      <w:pPr>
        <w:widowControl/>
        <w:numPr>
          <w:ilvl w:val="0"/>
          <w:numId w:val="12"/>
        </w:numPr>
        <w:tabs>
          <w:tab w:val="left" w:pos="567"/>
        </w:tabs>
        <w:suppressAutoHyphens/>
        <w:autoSpaceDE/>
        <w:autoSpaceDN/>
        <w:spacing w:line="360" w:lineRule="auto"/>
        <w:ind w:hanging="5464"/>
        <w:jc w:val="both"/>
        <w:rPr>
          <w:rFonts w:cs="Arial"/>
          <w:bCs/>
        </w:rPr>
      </w:pPr>
      <w:r w:rsidRPr="009A08DD">
        <w:rPr>
          <w:rFonts w:cs="Arial"/>
        </w:rPr>
        <w:t>ze strony Banku:</w:t>
      </w:r>
    </w:p>
    <w:p w14:paraId="7A2C90A4" w14:textId="11B4E7CD" w:rsidR="00A129E0" w:rsidRPr="009A08DD" w:rsidRDefault="00A129E0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sz w:val="22"/>
          <w:szCs w:val="22"/>
          <w:lang w:eastAsia="en-US"/>
        </w:rPr>
        <w:t>Piotr Wawrzonkiewicz - Dyrektor Biura ds. Restrukturyzacji i Windykacji oraz Procesów i Raportowania</w:t>
      </w:r>
    </w:p>
    <w:p w14:paraId="1AB5CC2E" w14:textId="77777777" w:rsidR="00A129E0" w:rsidRPr="009A08DD" w:rsidRDefault="00A129E0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sz w:val="22"/>
          <w:szCs w:val="22"/>
          <w:lang w:eastAsia="en-US"/>
        </w:rPr>
        <w:t>piotr.wawrzonkiewicz@bosbank.pl</w:t>
      </w:r>
    </w:p>
    <w:p w14:paraId="4B66CA11" w14:textId="3AD4D736" w:rsidR="00A129E0" w:rsidRDefault="00A129E0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sz w:val="22"/>
          <w:szCs w:val="22"/>
          <w:lang w:eastAsia="en-US"/>
        </w:rPr>
        <w:t>+48 515 011</w:t>
      </w:r>
      <w:r w:rsidR="00BB6D7A">
        <w:rPr>
          <w:rFonts w:ascii="Montserrat" w:eastAsia="Calibri" w:hAnsi="Montserrat" w:cs="Arial"/>
          <w:sz w:val="22"/>
          <w:szCs w:val="22"/>
          <w:lang w:eastAsia="en-US"/>
        </w:rPr>
        <w:t> </w:t>
      </w:r>
      <w:r w:rsidRPr="009A08DD">
        <w:rPr>
          <w:rFonts w:ascii="Montserrat" w:eastAsia="Calibri" w:hAnsi="Montserrat" w:cs="Arial"/>
          <w:sz w:val="22"/>
          <w:szCs w:val="22"/>
          <w:lang w:eastAsia="en-US"/>
        </w:rPr>
        <w:t>800</w:t>
      </w:r>
    </w:p>
    <w:p w14:paraId="67C336B5" w14:textId="77777777" w:rsidR="009A08DD" w:rsidRDefault="009A08DD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</w:p>
    <w:p w14:paraId="4C1DE1BE" w14:textId="77777777" w:rsidR="00BB6D7A" w:rsidRPr="009A08DD" w:rsidRDefault="00BB6D7A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</w:p>
    <w:p w14:paraId="0DCD459D" w14:textId="1B71F6B0" w:rsidR="00EF35C8" w:rsidRPr="009A08DD" w:rsidRDefault="00EF35C8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sz w:val="22"/>
          <w:szCs w:val="22"/>
          <w:lang w:eastAsia="en-US"/>
        </w:rPr>
        <w:lastRenderedPageBreak/>
        <w:t>Radosław Dębiec – Menedżer</w:t>
      </w:r>
    </w:p>
    <w:p w14:paraId="1ECBA18C" w14:textId="425E5276" w:rsidR="00EF35C8" w:rsidRPr="009A08DD" w:rsidRDefault="00EF35C8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sz w:val="22"/>
          <w:szCs w:val="22"/>
          <w:lang w:eastAsia="en-US"/>
        </w:rPr>
        <w:t>radoslaw.debiec@bosbank.pl</w:t>
      </w:r>
    </w:p>
    <w:p w14:paraId="14057BE3" w14:textId="2905375D" w:rsidR="00EF35C8" w:rsidRPr="009A08DD" w:rsidRDefault="00EF35C8" w:rsidP="00A129E0">
      <w:pPr>
        <w:pStyle w:val="Normalny1"/>
        <w:spacing w:line="360" w:lineRule="auto"/>
        <w:ind w:left="284"/>
        <w:jc w:val="both"/>
        <w:rPr>
          <w:rFonts w:ascii="Montserrat" w:eastAsia="Calibri" w:hAnsi="Montserrat" w:cs="Arial"/>
          <w:sz w:val="22"/>
          <w:szCs w:val="22"/>
          <w:lang w:eastAsia="en-US"/>
        </w:rPr>
      </w:pPr>
      <w:r w:rsidRPr="009A08DD">
        <w:rPr>
          <w:rFonts w:ascii="Montserrat" w:eastAsia="Calibri" w:hAnsi="Montserrat" w:cs="Arial"/>
          <w:sz w:val="22"/>
          <w:szCs w:val="22"/>
          <w:lang w:eastAsia="en-US"/>
        </w:rPr>
        <w:t>+48 515 111 917</w:t>
      </w:r>
    </w:p>
    <w:p w14:paraId="2F2261A2" w14:textId="77777777" w:rsidR="00A129E0" w:rsidRPr="00321802" w:rsidRDefault="00A129E0" w:rsidP="00A129E0">
      <w:pPr>
        <w:widowControl/>
        <w:numPr>
          <w:ilvl w:val="0"/>
          <w:numId w:val="12"/>
        </w:numPr>
        <w:tabs>
          <w:tab w:val="left" w:pos="567"/>
        </w:tabs>
        <w:suppressAutoHyphens/>
        <w:autoSpaceDE/>
        <w:autoSpaceDN/>
        <w:spacing w:line="360" w:lineRule="auto"/>
        <w:ind w:hanging="5464"/>
        <w:jc w:val="both"/>
        <w:rPr>
          <w:rFonts w:cs="Arial"/>
          <w:bCs/>
        </w:rPr>
      </w:pPr>
      <w:r w:rsidRPr="00321802">
        <w:rPr>
          <w:rFonts w:cs="Arial"/>
          <w:bCs/>
        </w:rPr>
        <w:t>ze strony Oferenta</w:t>
      </w:r>
    </w:p>
    <w:p w14:paraId="5508561F" w14:textId="77777777" w:rsidR="00A129E0" w:rsidRPr="009A08DD" w:rsidRDefault="00A129E0" w:rsidP="00A129E0">
      <w:pPr>
        <w:tabs>
          <w:tab w:val="left" w:pos="567"/>
        </w:tabs>
        <w:suppressAutoHyphens/>
        <w:spacing w:line="360" w:lineRule="auto"/>
        <w:ind w:left="284"/>
        <w:jc w:val="both"/>
        <w:rPr>
          <w:rFonts w:cs="Arial"/>
          <w:bCs/>
        </w:rPr>
      </w:pPr>
      <w:r w:rsidRPr="00321802">
        <w:rPr>
          <w:rFonts w:cs="Arial"/>
          <w:bCs/>
        </w:rPr>
        <w:t>…</w:t>
      </w:r>
    </w:p>
    <w:p w14:paraId="3DDF950A" w14:textId="77777777" w:rsidR="00872342" w:rsidRPr="009A08DD" w:rsidRDefault="00872342" w:rsidP="00A129E0">
      <w:pPr>
        <w:tabs>
          <w:tab w:val="left" w:pos="567"/>
        </w:tabs>
        <w:suppressAutoHyphens/>
        <w:spacing w:line="360" w:lineRule="auto"/>
        <w:ind w:left="284"/>
        <w:jc w:val="both"/>
        <w:rPr>
          <w:rFonts w:cs="Arial"/>
          <w:bCs/>
        </w:rPr>
      </w:pPr>
    </w:p>
    <w:p w14:paraId="3BDCCE09" w14:textId="77777777" w:rsidR="00A129E0" w:rsidRPr="009A08DD" w:rsidRDefault="00A129E0" w:rsidP="00A129E0">
      <w:pPr>
        <w:widowControl/>
        <w:numPr>
          <w:ilvl w:val="6"/>
          <w:numId w:val="10"/>
        </w:numPr>
        <w:tabs>
          <w:tab w:val="clear" w:pos="5388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Zmiana pracowników wskazanych w ust. 1 powyżej wymaga zachowania formy na piśmie,</w:t>
      </w:r>
      <w:r w:rsidRPr="009A08DD">
        <w:rPr>
          <w:rFonts w:cs="Arial"/>
          <w:bCs/>
        </w:rPr>
        <w:t xml:space="preserve"> </w:t>
      </w:r>
      <w:r w:rsidRPr="009A08DD">
        <w:rPr>
          <w:rFonts w:cs="Arial"/>
        </w:rPr>
        <w:t>natomiast nie stanowi zmiany treści Umowy.</w:t>
      </w:r>
    </w:p>
    <w:p w14:paraId="62C1B27D" w14:textId="77777777" w:rsidR="00872342" w:rsidRPr="009A08DD" w:rsidRDefault="00872342" w:rsidP="00872342">
      <w:pPr>
        <w:widowControl/>
        <w:suppressAutoHyphens/>
        <w:autoSpaceDE/>
        <w:autoSpaceDN/>
        <w:spacing w:line="360" w:lineRule="auto"/>
        <w:ind w:left="284"/>
        <w:jc w:val="both"/>
        <w:rPr>
          <w:rFonts w:cs="Arial"/>
          <w:bCs/>
        </w:rPr>
      </w:pPr>
    </w:p>
    <w:p w14:paraId="20D902E4" w14:textId="77777777" w:rsidR="00A129E0" w:rsidRPr="009A08DD" w:rsidRDefault="00A129E0" w:rsidP="00872342">
      <w:pPr>
        <w:spacing w:line="360" w:lineRule="auto"/>
        <w:jc w:val="center"/>
        <w:rPr>
          <w:rFonts w:cs="Arial"/>
          <w:b/>
          <w:bCs/>
        </w:rPr>
      </w:pPr>
      <w:r w:rsidRPr="009A08DD">
        <w:rPr>
          <w:rFonts w:cs="Arial"/>
          <w:b/>
          <w:bCs/>
        </w:rPr>
        <w:t>§ 7</w:t>
      </w:r>
    </w:p>
    <w:p w14:paraId="7EB085F8" w14:textId="77777777" w:rsidR="00872342" w:rsidRPr="009A08DD" w:rsidRDefault="00872342" w:rsidP="00872342">
      <w:pPr>
        <w:spacing w:line="360" w:lineRule="auto"/>
        <w:jc w:val="center"/>
        <w:rPr>
          <w:rFonts w:cs="Arial"/>
          <w:b/>
          <w:bCs/>
        </w:rPr>
      </w:pPr>
    </w:p>
    <w:p w14:paraId="4050B394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 xml:space="preserve">Umowa wchodzi w życie z dniem jej podpisania przez Strony. Umowa zawarta została na okres 7-miu miesięcy od dnia jej podpisania z tym zastrzeżeniem, </w:t>
      </w:r>
      <w:r w:rsidRPr="009A08DD">
        <w:rPr>
          <w:rFonts w:cs="Arial"/>
          <w:u w:val="single"/>
        </w:rPr>
        <w:t>że zobowiązania dotyczące zachowania w tajemnicy Informacji Poufnych obowiązują bezterminowo, również po zakończeniu obowiązywania Umowy</w:t>
      </w:r>
      <w:r w:rsidRPr="009A08DD">
        <w:rPr>
          <w:rFonts w:cs="Arial"/>
        </w:rPr>
        <w:t xml:space="preserve">. </w:t>
      </w:r>
    </w:p>
    <w:p w14:paraId="73060AEE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Załącznikiem nr 1 do Umowy jest Umowa powierzenia przetwarzania danych osobowych.</w:t>
      </w:r>
    </w:p>
    <w:p w14:paraId="49DE4851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Każda zmiana postanowień Umowy z zastrzeżeniem wyjątków przewidzianych w Umowie wymaga zachowania formy pisemnej pod rygorem nieważności.</w:t>
      </w:r>
    </w:p>
    <w:p w14:paraId="6F892F01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Umowa podlega przepisom prawa polskiego i zgodnie z nimi powinny być interpretowane jej postanowienia.</w:t>
      </w:r>
    </w:p>
    <w:p w14:paraId="7CDD228F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>Żadna ze Stron nie może bez uprzedniej, pisemnej zgody drugiej Strony przenieść na osoby trzecie całości lub części jakichkolwiek praw lub obowiązków wynikających z Umowy.</w:t>
      </w:r>
    </w:p>
    <w:p w14:paraId="4A83C90D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 xml:space="preserve">Adresy wskazane w </w:t>
      </w:r>
      <w:r w:rsidRPr="009A08DD">
        <w:rPr>
          <w:rFonts w:cs="Arial"/>
          <w:bCs/>
          <w:i/>
          <w:iCs/>
        </w:rPr>
        <w:t>petitum</w:t>
      </w:r>
      <w:r w:rsidRPr="009A08DD">
        <w:rPr>
          <w:rFonts w:cs="Arial"/>
          <w:bCs/>
        </w:rPr>
        <w:t xml:space="preserve"> Umowy stanowią adresy dla doręczeń. Strony zobowiązują się do wzajemnego informowania o zmianie adresu do doręczeń pod rygorem uznania za skuteczne doręczeń dokonanych na adres dotychczasowy w terminie 7 dni od daty nadania przesyłki listem poleconym w placówce pocztowej.  </w:t>
      </w:r>
    </w:p>
    <w:p w14:paraId="3CC4D05D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>W sprawach nieuregulowanych Umową mają zastosowanie przepisy kodeksu cywilnego i inne powszechnie obowiązujące.</w:t>
      </w:r>
    </w:p>
    <w:p w14:paraId="657A550D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  <w:bCs/>
        </w:rPr>
        <w:t xml:space="preserve">W celu uniknięcia jakichkolwiek wątpliwości, Strony postanawiają, że jeżeli jakakolwiek część Umowy zostanie uznana za nieważną lub w inny sposób prawnie wadliwą, pozostałe jej </w:t>
      </w:r>
      <w:r w:rsidRPr="009A08DD">
        <w:rPr>
          <w:rFonts w:cs="Arial"/>
          <w:bCs/>
        </w:rPr>
        <w:lastRenderedPageBreak/>
        <w:t>postanowienia pozostają w mocy. W odniesieniu do postanowień uznanych za nieważne lub niewykonalne, Strony wynegocjują w stopniu, w jakim to możliwe, alternatywne postanowienia, które będą ważne i wykonalne i które będą odzwierciedlały pierwotny zamiar Stron.</w:t>
      </w:r>
    </w:p>
    <w:p w14:paraId="211DC8B0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Wszelkie spory jakie powstaną w związku z zawarciem i wykonywaniem Umowy będą rozstrzygane przez sąd powszechny właściwy dla siedziby Banku, o ile Strony nie zdołają rozwiązać ich polubownie</w:t>
      </w:r>
    </w:p>
    <w:p w14:paraId="0EA8D02C" w14:textId="77777777" w:rsidR="00A129E0" w:rsidRPr="009A08DD" w:rsidRDefault="00A129E0" w:rsidP="00A129E0">
      <w:pPr>
        <w:widowControl/>
        <w:numPr>
          <w:ilvl w:val="0"/>
          <w:numId w:val="6"/>
        </w:numPr>
        <w:tabs>
          <w:tab w:val="clear" w:pos="720"/>
          <w:tab w:val="num" w:pos="284"/>
        </w:tabs>
        <w:suppressAutoHyphens/>
        <w:autoSpaceDE/>
        <w:autoSpaceDN/>
        <w:spacing w:line="360" w:lineRule="auto"/>
        <w:ind w:left="284" w:hanging="284"/>
        <w:jc w:val="both"/>
        <w:rPr>
          <w:rFonts w:cs="Arial"/>
          <w:bCs/>
        </w:rPr>
      </w:pPr>
      <w:r w:rsidRPr="009A08DD">
        <w:rPr>
          <w:rFonts w:cs="Arial"/>
        </w:rPr>
        <w:t>Umowę sporządzono w dwóch jednobrzmiących egzemplarzach po jednym dla każdej ze Stron.</w:t>
      </w:r>
    </w:p>
    <w:p w14:paraId="7D46DF5A" w14:textId="77777777" w:rsidR="00A129E0" w:rsidRPr="00A129E0" w:rsidRDefault="00A129E0" w:rsidP="00A129E0">
      <w:pPr>
        <w:pStyle w:val="Tekstpodstawowy"/>
        <w:jc w:val="center"/>
        <w:rPr>
          <w:rFonts w:cs="Arial"/>
          <w:b/>
        </w:rPr>
      </w:pPr>
    </w:p>
    <w:p w14:paraId="22F388D1" w14:textId="77777777" w:rsidR="00A129E0" w:rsidRPr="00A129E0" w:rsidRDefault="00A129E0" w:rsidP="00A129E0">
      <w:pPr>
        <w:spacing w:after="120" w:line="360" w:lineRule="auto"/>
        <w:jc w:val="both"/>
        <w:rPr>
          <w:rFonts w:cs="Arial"/>
        </w:rPr>
      </w:pPr>
    </w:p>
    <w:p w14:paraId="73D47CFC" w14:textId="77777777" w:rsidR="00A129E0" w:rsidRPr="00A129E0" w:rsidRDefault="00A129E0" w:rsidP="00A129E0">
      <w:pPr>
        <w:spacing w:after="120" w:line="360" w:lineRule="auto"/>
        <w:ind w:firstLine="708"/>
        <w:jc w:val="both"/>
        <w:rPr>
          <w:rFonts w:cs="Arial"/>
          <w:b/>
          <w:bCs/>
        </w:rPr>
      </w:pPr>
      <w:r w:rsidRPr="00A129E0">
        <w:rPr>
          <w:rFonts w:cs="Arial"/>
          <w:b/>
          <w:bCs/>
        </w:rPr>
        <w:t xml:space="preserve">Bank </w:t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</w:r>
      <w:r w:rsidRPr="00A129E0">
        <w:rPr>
          <w:rFonts w:cs="Arial"/>
          <w:b/>
          <w:bCs/>
        </w:rPr>
        <w:tab/>
        <w:t xml:space="preserve">Oferent </w:t>
      </w:r>
    </w:p>
    <w:p w14:paraId="39CBBF31" w14:textId="77777777" w:rsidR="00A129E0" w:rsidRPr="00A129E0" w:rsidRDefault="00A129E0" w:rsidP="00A129E0">
      <w:pPr>
        <w:spacing w:after="120" w:line="360" w:lineRule="auto"/>
        <w:jc w:val="both"/>
        <w:rPr>
          <w:rFonts w:cs="Arial"/>
        </w:rPr>
      </w:pPr>
    </w:p>
    <w:p w14:paraId="58728727" w14:textId="77777777" w:rsidR="00A129E0" w:rsidRPr="00A129E0" w:rsidRDefault="00A129E0" w:rsidP="00A129E0">
      <w:pPr>
        <w:spacing w:after="120" w:line="360" w:lineRule="auto"/>
        <w:jc w:val="both"/>
        <w:rPr>
          <w:rFonts w:cs="Arial"/>
        </w:rPr>
      </w:pPr>
    </w:p>
    <w:p w14:paraId="3CB7C087" w14:textId="77777777" w:rsidR="00A129E0" w:rsidRPr="00A129E0" w:rsidRDefault="00A129E0" w:rsidP="00A129E0">
      <w:pPr>
        <w:spacing w:after="120" w:line="360" w:lineRule="auto"/>
        <w:jc w:val="both"/>
        <w:rPr>
          <w:rFonts w:cs="Arial"/>
        </w:rPr>
      </w:pPr>
    </w:p>
    <w:p w14:paraId="7061E151" w14:textId="77777777" w:rsidR="00A129E0" w:rsidRPr="00A129E0" w:rsidRDefault="00A129E0" w:rsidP="00A129E0">
      <w:pPr>
        <w:spacing w:line="360" w:lineRule="auto"/>
        <w:jc w:val="both"/>
        <w:rPr>
          <w:rFonts w:cs="Arial"/>
          <w:b/>
          <w:bCs/>
          <w:sz w:val="16"/>
          <w:szCs w:val="16"/>
        </w:rPr>
      </w:pPr>
      <w:r w:rsidRPr="00A129E0">
        <w:rPr>
          <w:rFonts w:cs="Arial"/>
          <w:b/>
          <w:bCs/>
          <w:sz w:val="16"/>
          <w:szCs w:val="16"/>
        </w:rPr>
        <w:t>załączniki:</w:t>
      </w:r>
    </w:p>
    <w:p w14:paraId="760DDE4D" w14:textId="77777777" w:rsidR="00A129E0" w:rsidRPr="00A129E0" w:rsidRDefault="00A129E0" w:rsidP="00A129E0">
      <w:pPr>
        <w:spacing w:line="360" w:lineRule="auto"/>
        <w:jc w:val="both"/>
        <w:rPr>
          <w:rFonts w:cs="Arial"/>
          <w:b/>
          <w:bCs/>
          <w:sz w:val="16"/>
          <w:szCs w:val="16"/>
        </w:rPr>
      </w:pPr>
      <w:r w:rsidRPr="00A129E0">
        <w:rPr>
          <w:rFonts w:cs="Arial"/>
          <w:sz w:val="16"/>
          <w:szCs w:val="16"/>
        </w:rPr>
        <w:t>nr 1 Umowa powierzenia przetwarzania danych osobowych</w:t>
      </w:r>
    </w:p>
    <w:p w14:paraId="0D16362C" w14:textId="77777777" w:rsidR="00A129E0" w:rsidRPr="00A129E0" w:rsidRDefault="00A129E0" w:rsidP="00A129E0">
      <w:pPr>
        <w:spacing w:after="120" w:line="360" w:lineRule="auto"/>
        <w:jc w:val="both"/>
        <w:rPr>
          <w:rFonts w:cs="Arial"/>
        </w:rPr>
      </w:pPr>
    </w:p>
    <w:p w14:paraId="2828F5C0" w14:textId="77777777" w:rsidR="00A129E0" w:rsidRPr="00A129E0" w:rsidRDefault="00A129E0" w:rsidP="00A129E0">
      <w:pPr>
        <w:spacing w:after="120" w:line="360" w:lineRule="auto"/>
        <w:jc w:val="both"/>
        <w:rPr>
          <w:rFonts w:cs="Arial"/>
          <w:b/>
          <w:bCs/>
          <w:sz w:val="16"/>
          <w:szCs w:val="16"/>
        </w:rPr>
      </w:pPr>
    </w:p>
    <w:p w14:paraId="5E32ECFC" w14:textId="77777777" w:rsidR="00E45D76" w:rsidRPr="00A129E0" w:rsidRDefault="00E45D76" w:rsidP="000A3ED2">
      <w:pPr>
        <w:jc w:val="both"/>
        <w:rPr>
          <w:rFonts w:eastAsia="Calibri" w:cs="Times New Roman"/>
          <w:kern w:val="2"/>
          <w14:ligatures w14:val="standardContextual"/>
        </w:rPr>
      </w:pPr>
    </w:p>
    <w:p w14:paraId="69E03733" w14:textId="77777777" w:rsidR="00E45D76" w:rsidRPr="00A129E0" w:rsidRDefault="00E45D76" w:rsidP="000A3ED2">
      <w:pPr>
        <w:jc w:val="both"/>
        <w:rPr>
          <w:rFonts w:eastAsia="Calibri" w:cs="Times New Roman"/>
          <w:kern w:val="2"/>
          <w14:ligatures w14:val="standardContextual"/>
        </w:rPr>
      </w:pPr>
    </w:p>
    <w:p w14:paraId="34BD9992" w14:textId="77777777" w:rsidR="00E45D76" w:rsidRPr="00A129E0" w:rsidRDefault="00E45D76" w:rsidP="002332C6">
      <w:pPr>
        <w:jc w:val="both"/>
        <w:rPr>
          <w:rFonts w:eastAsia="Calibri" w:cs="Times New Roman"/>
          <w:kern w:val="2"/>
          <w14:ligatures w14:val="standardContextual"/>
        </w:rPr>
      </w:pPr>
    </w:p>
    <w:p w14:paraId="28F7F3E0" w14:textId="77777777" w:rsidR="00E45D76" w:rsidRPr="00A129E0" w:rsidRDefault="00E45D76" w:rsidP="002332C6">
      <w:pPr>
        <w:jc w:val="both"/>
        <w:rPr>
          <w:rFonts w:eastAsia="Calibri" w:cs="Times New Roman"/>
          <w:kern w:val="2"/>
          <w14:ligatures w14:val="standardContextual"/>
        </w:rPr>
      </w:pPr>
    </w:p>
    <w:p w14:paraId="64534060" w14:textId="77777777" w:rsidR="00E45D76" w:rsidRPr="00A129E0" w:rsidRDefault="00E45D76" w:rsidP="002332C6">
      <w:pPr>
        <w:jc w:val="both"/>
        <w:rPr>
          <w:rFonts w:eastAsia="Calibri" w:cs="Times New Roman"/>
          <w:kern w:val="2"/>
          <w14:ligatures w14:val="standardContextual"/>
        </w:rPr>
      </w:pPr>
    </w:p>
    <w:p w14:paraId="2883FD19" w14:textId="77777777" w:rsidR="00A147B6" w:rsidRPr="00A129E0" w:rsidRDefault="00A147B6" w:rsidP="00A147B6">
      <w:pPr>
        <w:jc w:val="both"/>
        <w:rPr>
          <w:rFonts w:eastAsia="Calibri" w:cs="Times New Roman"/>
          <w:kern w:val="2"/>
          <w14:ligatures w14:val="standardContextual"/>
        </w:rPr>
      </w:pPr>
    </w:p>
    <w:p w14:paraId="4E202CB5" w14:textId="77777777" w:rsidR="00A147B6" w:rsidRPr="00A129E0" w:rsidRDefault="00A147B6" w:rsidP="00A147B6">
      <w:pPr>
        <w:jc w:val="both"/>
        <w:rPr>
          <w:rFonts w:eastAsia="Calibri" w:cs="Times New Roman"/>
          <w:kern w:val="2"/>
          <w14:ligatures w14:val="standardContextual"/>
        </w:rPr>
      </w:pPr>
    </w:p>
    <w:p w14:paraId="48A92C3C" w14:textId="77777777" w:rsidR="008F470F" w:rsidRPr="00A129E0" w:rsidRDefault="008F470F" w:rsidP="003F5951">
      <w:pPr>
        <w:rPr>
          <w:b/>
          <w:color w:val="005F42"/>
        </w:rPr>
      </w:pPr>
    </w:p>
    <w:p w14:paraId="1D12CEC5" w14:textId="77777777" w:rsidR="008F470F" w:rsidRPr="00A129E0" w:rsidRDefault="008F470F" w:rsidP="003F5951">
      <w:pPr>
        <w:rPr>
          <w:b/>
          <w:color w:val="005F42"/>
        </w:rPr>
      </w:pPr>
    </w:p>
    <w:p w14:paraId="75930E4A" w14:textId="77777777" w:rsidR="008F470F" w:rsidRPr="00A129E0" w:rsidRDefault="008F470F" w:rsidP="003F5951"/>
    <w:sectPr w:rsidR="008F470F" w:rsidRPr="00A129E0" w:rsidSect="009F6A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985" w:right="680" w:bottom="1985" w:left="680" w:header="794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F288" w14:textId="77777777" w:rsidR="00DE31AE" w:rsidRDefault="00DE31AE" w:rsidP="00624190">
      <w:r>
        <w:separator/>
      </w:r>
    </w:p>
  </w:endnote>
  <w:endnote w:type="continuationSeparator" w:id="0">
    <w:p w14:paraId="7CB52156" w14:textId="77777777" w:rsidR="00DE31AE" w:rsidRDefault="00DE31AE" w:rsidP="0062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-Mediu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057E" w14:textId="77777777" w:rsidR="00E70B12" w:rsidRDefault="00E70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6968" w14:textId="77777777" w:rsidR="003F5951" w:rsidRDefault="00E92335" w:rsidP="003F5951">
    <w:pPr>
      <w:pStyle w:val="Tekstpodstawowy"/>
      <w:spacing w:line="20" w:lineRule="exact"/>
      <w:rPr>
        <w:rFonts w:ascii="Times New Roman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EA5D5" wp14:editId="6B3CB218">
              <wp:simplePos x="0" y="0"/>
              <wp:positionH relativeFrom="column">
                <wp:posOffset>5863590</wp:posOffset>
              </wp:positionH>
              <wp:positionV relativeFrom="paragraph">
                <wp:posOffset>-55245</wp:posOffset>
              </wp:positionV>
              <wp:extent cx="854075" cy="191135"/>
              <wp:effectExtent l="0" t="0" r="317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4075" cy="191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E2F69" w14:textId="77777777" w:rsidR="00932D8F" w:rsidRPr="00932D8F" w:rsidRDefault="00932D8F" w:rsidP="00932D8F">
                          <w:pPr>
                            <w:pStyle w:val="Tekstgwny"/>
                            <w:jc w:val="right"/>
                            <w:rPr>
                              <w:sz w:val="12"/>
                              <w:szCs w:val="16"/>
                            </w:rPr>
                          </w:pPr>
                          <w:r w:rsidRPr="00932D8F">
                            <w:rPr>
                              <w:color w:val="7F7F7F" w:themeColor="background1" w:themeShade="7F"/>
                              <w:spacing w:val="60"/>
                              <w:sz w:val="12"/>
                              <w:szCs w:val="16"/>
                            </w:rPr>
                            <w:t>Strona</w:t>
                          </w:r>
                          <w:r w:rsidRPr="00932D8F">
                            <w:rPr>
                              <w:sz w:val="12"/>
                              <w:szCs w:val="16"/>
                            </w:rPr>
                            <w:t xml:space="preserve"> | </w:t>
                          </w:r>
                          <w:r w:rsidRPr="00932D8F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932D8F">
                            <w:rPr>
                              <w:sz w:val="12"/>
                              <w:szCs w:val="16"/>
                            </w:rPr>
                            <w:instrText xml:space="preserve"> PAGE   \* MERGEFORMAT </w:instrText>
                          </w:r>
                          <w:r w:rsidRPr="00932D8F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932D8F">
                            <w:rPr>
                              <w:b/>
                              <w:noProof/>
                              <w:sz w:val="12"/>
                              <w:szCs w:val="16"/>
                            </w:rPr>
                            <w:t>1</w:t>
                          </w:r>
                          <w:r w:rsidRPr="00932D8F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EA5D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61.7pt;margin-top:-4.35pt;width:67.2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" stroked="f">
              <v:path arrowok="t"/>
              <v:textbox>
                <w:txbxContent>
                  <w:p w14:paraId="777E2F69" w14:textId="77777777" w:rsidR="00932D8F" w:rsidRPr="00932D8F" w:rsidRDefault="00932D8F" w:rsidP="00932D8F">
                    <w:pPr>
                      <w:pStyle w:val="Tekstgwny"/>
                      <w:jc w:val="right"/>
                      <w:rPr>
                        <w:sz w:val="12"/>
                        <w:szCs w:val="16"/>
                      </w:rPr>
                    </w:pPr>
                    <w:r w:rsidRPr="00932D8F">
                      <w:rPr>
                        <w:color w:val="7F7F7F" w:themeColor="background1" w:themeShade="7F"/>
                        <w:spacing w:val="60"/>
                        <w:sz w:val="12"/>
                        <w:szCs w:val="16"/>
                      </w:rPr>
                      <w:t>Strona</w:t>
                    </w:r>
                    <w:r w:rsidRPr="00932D8F">
                      <w:rPr>
                        <w:sz w:val="12"/>
                        <w:szCs w:val="16"/>
                      </w:rPr>
                      <w:t xml:space="preserve"> | </w:t>
                    </w:r>
                    <w:r w:rsidRPr="00932D8F">
                      <w:rPr>
                        <w:sz w:val="12"/>
                        <w:szCs w:val="16"/>
                      </w:rPr>
                      <w:fldChar w:fldCharType="begin"/>
                    </w:r>
                    <w:r w:rsidRPr="00932D8F">
                      <w:rPr>
                        <w:sz w:val="12"/>
                        <w:szCs w:val="16"/>
                      </w:rPr>
                      <w:instrText xml:space="preserve"> PAGE   \* MERGEFORMAT </w:instrText>
                    </w:r>
                    <w:r w:rsidRPr="00932D8F">
                      <w:rPr>
                        <w:sz w:val="12"/>
                        <w:szCs w:val="16"/>
                      </w:rPr>
                      <w:fldChar w:fldCharType="separate"/>
                    </w:r>
                    <w:r w:rsidRPr="00932D8F">
                      <w:rPr>
                        <w:b/>
                        <w:noProof/>
                        <w:sz w:val="12"/>
                        <w:szCs w:val="16"/>
                      </w:rPr>
                      <w:t>1</w:t>
                    </w:r>
                    <w:r w:rsidRPr="00932D8F">
                      <w:rPr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1170E1" w14:textId="1D7F4153" w:rsidR="003F5951" w:rsidRDefault="00E70B12" w:rsidP="003F5951">
    <w:pPr>
      <w:pStyle w:val="Tekstpodstawowy"/>
      <w:spacing w:before="95"/>
      <w:ind w:right="113"/>
      <w:jc w:val="both"/>
    </w:pPr>
    <w:r>
      <w:rPr>
        <w:noProof/>
      </w:rPr>
      <w:drawing>
        <wp:inline distT="0" distB="0" distL="0" distR="0" wp14:anchorId="2FA7BC30" wp14:editId="6D0615CD">
          <wp:extent cx="6577012" cy="704177"/>
          <wp:effectExtent l="0" t="0" r="0" b="1270"/>
          <wp:docPr id="141777759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77759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881" cy="717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72B4" w14:textId="77777777" w:rsidR="00E70B12" w:rsidRDefault="00E70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0D8C" w14:textId="77777777" w:rsidR="00DE31AE" w:rsidRDefault="00DE31AE" w:rsidP="00624190">
      <w:r>
        <w:separator/>
      </w:r>
    </w:p>
  </w:footnote>
  <w:footnote w:type="continuationSeparator" w:id="0">
    <w:p w14:paraId="39FBF57F" w14:textId="77777777" w:rsidR="00DE31AE" w:rsidRDefault="00DE31AE" w:rsidP="0062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42A" w14:textId="77777777" w:rsidR="00E70B12" w:rsidRDefault="00E70B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6D49" w14:textId="77777777" w:rsidR="00624190" w:rsidRDefault="00624190" w:rsidP="00883A24">
    <w:pPr>
      <w:pStyle w:val="Nagwek"/>
      <w:tabs>
        <w:tab w:val="clear" w:pos="4536"/>
        <w:tab w:val="clear" w:pos="9072"/>
        <w:tab w:val="left" w:pos="983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7CE9FC" wp14:editId="13295280">
          <wp:simplePos x="0" y="0"/>
          <wp:positionH relativeFrom="column">
            <wp:posOffset>5967567</wp:posOffset>
          </wp:positionH>
          <wp:positionV relativeFrom="paragraph">
            <wp:posOffset>-142240</wp:posOffset>
          </wp:positionV>
          <wp:extent cx="806645" cy="546436"/>
          <wp:effectExtent l="0" t="0" r="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645" cy="546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A24">
      <w:tab/>
    </w:r>
  </w:p>
  <w:p w14:paraId="6DE773C4" w14:textId="77777777" w:rsidR="00624190" w:rsidRDefault="00624190">
    <w:pPr>
      <w:pStyle w:val="Nagwek"/>
    </w:pPr>
  </w:p>
  <w:p w14:paraId="635115EB" w14:textId="77777777" w:rsidR="00624190" w:rsidRDefault="00624190">
    <w:pPr>
      <w:pStyle w:val="Nagwek"/>
    </w:pPr>
  </w:p>
  <w:p w14:paraId="38C2D1FB" w14:textId="77777777" w:rsidR="00624190" w:rsidRDefault="00624190">
    <w:pPr>
      <w:pStyle w:val="Nagwek"/>
    </w:pPr>
  </w:p>
  <w:p w14:paraId="24FE5C75" w14:textId="77777777" w:rsidR="00624190" w:rsidRDefault="00624190">
    <w:pPr>
      <w:pStyle w:val="Nagwek"/>
    </w:pPr>
  </w:p>
  <w:p w14:paraId="4D2DB8EA" w14:textId="77777777" w:rsidR="00624190" w:rsidRDefault="00624190">
    <w:pPr>
      <w:pStyle w:val="Nagwek"/>
    </w:pPr>
  </w:p>
  <w:p w14:paraId="6E1BBCA0" w14:textId="77777777" w:rsidR="00624190" w:rsidRDefault="006241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817E" w14:textId="77777777" w:rsidR="00E70B12" w:rsidRDefault="00E70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1E7CED"/>
    <w:multiLevelType w:val="hybridMultilevel"/>
    <w:tmpl w:val="E7483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1DA7"/>
    <w:multiLevelType w:val="hybridMultilevel"/>
    <w:tmpl w:val="6268C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1B8C"/>
    <w:multiLevelType w:val="hybridMultilevel"/>
    <w:tmpl w:val="D316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055E"/>
    <w:multiLevelType w:val="hybridMultilevel"/>
    <w:tmpl w:val="A33EEC72"/>
    <w:lvl w:ilvl="0" w:tplc="96D28746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9403C1"/>
    <w:multiLevelType w:val="hybridMultilevel"/>
    <w:tmpl w:val="DE003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3491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3E994126"/>
    <w:multiLevelType w:val="hybridMultilevel"/>
    <w:tmpl w:val="578866D6"/>
    <w:lvl w:ilvl="0" w:tplc="74CC40C0">
      <w:start w:val="1"/>
      <w:numFmt w:val="decimal"/>
      <w:lvlText w:val="%1)"/>
      <w:lvlJc w:val="left"/>
      <w:pPr>
        <w:ind w:left="5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8" w:hanging="360"/>
      </w:pPr>
    </w:lvl>
    <w:lvl w:ilvl="2" w:tplc="0415001B" w:tentative="1">
      <w:start w:val="1"/>
      <w:numFmt w:val="lowerRoman"/>
      <w:lvlText w:val="%3."/>
      <w:lvlJc w:val="right"/>
      <w:pPr>
        <w:ind w:left="7188" w:hanging="180"/>
      </w:pPr>
    </w:lvl>
    <w:lvl w:ilvl="3" w:tplc="0415000F" w:tentative="1">
      <w:start w:val="1"/>
      <w:numFmt w:val="decimal"/>
      <w:lvlText w:val="%4."/>
      <w:lvlJc w:val="left"/>
      <w:pPr>
        <w:ind w:left="7908" w:hanging="360"/>
      </w:pPr>
    </w:lvl>
    <w:lvl w:ilvl="4" w:tplc="04150019" w:tentative="1">
      <w:start w:val="1"/>
      <w:numFmt w:val="lowerLetter"/>
      <w:lvlText w:val="%5."/>
      <w:lvlJc w:val="left"/>
      <w:pPr>
        <w:ind w:left="8628" w:hanging="360"/>
      </w:pPr>
    </w:lvl>
    <w:lvl w:ilvl="5" w:tplc="0415001B" w:tentative="1">
      <w:start w:val="1"/>
      <w:numFmt w:val="lowerRoman"/>
      <w:lvlText w:val="%6."/>
      <w:lvlJc w:val="right"/>
      <w:pPr>
        <w:ind w:left="9348" w:hanging="180"/>
      </w:pPr>
    </w:lvl>
    <w:lvl w:ilvl="6" w:tplc="0415000F" w:tentative="1">
      <w:start w:val="1"/>
      <w:numFmt w:val="decimal"/>
      <w:lvlText w:val="%7."/>
      <w:lvlJc w:val="left"/>
      <w:pPr>
        <w:ind w:left="10068" w:hanging="360"/>
      </w:pPr>
    </w:lvl>
    <w:lvl w:ilvl="7" w:tplc="04150019" w:tentative="1">
      <w:start w:val="1"/>
      <w:numFmt w:val="lowerLetter"/>
      <w:lvlText w:val="%8."/>
      <w:lvlJc w:val="left"/>
      <w:pPr>
        <w:ind w:left="10788" w:hanging="360"/>
      </w:pPr>
    </w:lvl>
    <w:lvl w:ilvl="8" w:tplc="0415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8" w15:restartNumberingAfterBreak="0">
    <w:nsid w:val="459B7C7C"/>
    <w:multiLevelType w:val="hybridMultilevel"/>
    <w:tmpl w:val="F780862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EA5499"/>
    <w:multiLevelType w:val="hybridMultilevel"/>
    <w:tmpl w:val="3086E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470B8"/>
    <w:multiLevelType w:val="hybridMultilevel"/>
    <w:tmpl w:val="175C6F86"/>
    <w:lvl w:ilvl="0" w:tplc="DB70F0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27D1"/>
    <w:multiLevelType w:val="hybridMultilevel"/>
    <w:tmpl w:val="C5861978"/>
    <w:lvl w:ilvl="0" w:tplc="77CAE0A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0BDD"/>
    <w:multiLevelType w:val="hybridMultilevel"/>
    <w:tmpl w:val="81FAE470"/>
    <w:lvl w:ilvl="0" w:tplc="11A660B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097939170">
    <w:abstractNumId w:val="1"/>
  </w:num>
  <w:num w:numId="2" w16cid:durableId="1458182975">
    <w:abstractNumId w:val="10"/>
  </w:num>
  <w:num w:numId="3" w16cid:durableId="1296371240">
    <w:abstractNumId w:val="4"/>
  </w:num>
  <w:num w:numId="4" w16cid:durableId="1300920398">
    <w:abstractNumId w:val="11"/>
  </w:num>
  <w:num w:numId="5" w16cid:durableId="1743285365">
    <w:abstractNumId w:val="0"/>
  </w:num>
  <w:num w:numId="6" w16cid:durableId="1538200367">
    <w:abstractNumId w:val="6"/>
  </w:num>
  <w:num w:numId="7" w16cid:durableId="326901531">
    <w:abstractNumId w:val="9"/>
  </w:num>
  <w:num w:numId="8" w16cid:durableId="1989745497">
    <w:abstractNumId w:val="3"/>
  </w:num>
  <w:num w:numId="9" w16cid:durableId="1415081229">
    <w:abstractNumId w:val="5"/>
  </w:num>
  <w:num w:numId="10" w16cid:durableId="1246182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923622">
    <w:abstractNumId w:val="8"/>
  </w:num>
  <w:num w:numId="12" w16cid:durableId="158548299">
    <w:abstractNumId w:val="7"/>
  </w:num>
  <w:num w:numId="13" w16cid:durableId="177971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32"/>
    <w:rsid w:val="000257D5"/>
    <w:rsid w:val="00052D5C"/>
    <w:rsid w:val="000904A4"/>
    <w:rsid w:val="000A3ED2"/>
    <w:rsid w:val="000C41B8"/>
    <w:rsid w:val="000C6E44"/>
    <w:rsid w:val="00104E92"/>
    <w:rsid w:val="001224F9"/>
    <w:rsid w:val="001338A1"/>
    <w:rsid w:val="00133E1C"/>
    <w:rsid w:val="001A2CE3"/>
    <w:rsid w:val="001A2E64"/>
    <w:rsid w:val="001C227C"/>
    <w:rsid w:val="001E0201"/>
    <w:rsid w:val="001E6D6D"/>
    <w:rsid w:val="002332C6"/>
    <w:rsid w:val="00257BDA"/>
    <w:rsid w:val="002659E1"/>
    <w:rsid w:val="0028794C"/>
    <w:rsid w:val="002B0ECF"/>
    <w:rsid w:val="002D427C"/>
    <w:rsid w:val="002E68AE"/>
    <w:rsid w:val="00315068"/>
    <w:rsid w:val="00321802"/>
    <w:rsid w:val="00353A7E"/>
    <w:rsid w:val="003D2475"/>
    <w:rsid w:val="003E7932"/>
    <w:rsid w:val="003F46FC"/>
    <w:rsid w:val="003F5951"/>
    <w:rsid w:val="004048B3"/>
    <w:rsid w:val="00413B0F"/>
    <w:rsid w:val="00422168"/>
    <w:rsid w:val="00427CE0"/>
    <w:rsid w:val="0046606A"/>
    <w:rsid w:val="004706D6"/>
    <w:rsid w:val="0048733C"/>
    <w:rsid w:val="004878F9"/>
    <w:rsid w:val="004A59B2"/>
    <w:rsid w:val="004D610C"/>
    <w:rsid w:val="004E2FD2"/>
    <w:rsid w:val="00506822"/>
    <w:rsid w:val="00507D0D"/>
    <w:rsid w:val="005472C1"/>
    <w:rsid w:val="005A69FD"/>
    <w:rsid w:val="005B6D6B"/>
    <w:rsid w:val="00624190"/>
    <w:rsid w:val="00645AA9"/>
    <w:rsid w:val="00667020"/>
    <w:rsid w:val="00671D00"/>
    <w:rsid w:val="006F0021"/>
    <w:rsid w:val="006F428F"/>
    <w:rsid w:val="00706539"/>
    <w:rsid w:val="0074066C"/>
    <w:rsid w:val="00742A82"/>
    <w:rsid w:val="007B32D5"/>
    <w:rsid w:val="007B39AE"/>
    <w:rsid w:val="008646D1"/>
    <w:rsid w:val="00872342"/>
    <w:rsid w:val="00883A24"/>
    <w:rsid w:val="008E2F99"/>
    <w:rsid w:val="008F470F"/>
    <w:rsid w:val="00912FD7"/>
    <w:rsid w:val="00932D8F"/>
    <w:rsid w:val="00981516"/>
    <w:rsid w:val="00982226"/>
    <w:rsid w:val="00996578"/>
    <w:rsid w:val="009A08DD"/>
    <w:rsid w:val="009A5934"/>
    <w:rsid w:val="009C7A39"/>
    <w:rsid w:val="009F5565"/>
    <w:rsid w:val="009F6A3D"/>
    <w:rsid w:val="00A129E0"/>
    <w:rsid w:val="00A147B6"/>
    <w:rsid w:val="00A22F62"/>
    <w:rsid w:val="00AA5316"/>
    <w:rsid w:val="00AB69C8"/>
    <w:rsid w:val="00AD4699"/>
    <w:rsid w:val="00AF5A01"/>
    <w:rsid w:val="00B163C9"/>
    <w:rsid w:val="00B17B53"/>
    <w:rsid w:val="00B20761"/>
    <w:rsid w:val="00B2750C"/>
    <w:rsid w:val="00BA08A5"/>
    <w:rsid w:val="00BB6D7A"/>
    <w:rsid w:val="00BE723F"/>
    <w:rsid w:val="00BF158F"/>
    <w:rsid w:val="00C01171"/>
    <w:rsid w:val="00C3110A"/>
    <w:rsid w:val="00C76112"/>
    <w:rsid w:val="00C9596B"/>
    <w:rsid w:val="00D13720"/>
    <w:rsid w:val="00D14158"/>
    <w:rsid w:val="00D501D6"/>
    <w:rsid w:val="00D62E42"/>
    <w:rsid w:val="00D85AF8"/>
    <w:rsid w:val="00DC65C7"/>
    <w:rsid w:val="00DD10F2"/>
    <w:rsid w:val="00DE31AE"/>
    <w:rsid w:val="00E02FAA"/>
    <w:rsid w:val="00E1348C"/>
    <w:rsid w:val="00E160AA"/>
    <w:rsid w:val="00E31703"/>
    <w:rsid w:val="00E45D76"/>
    <w:rsid w:val="00E70B12"/>
    <w:rsid w:val="00E712E6"/>
    <w:rsid w:val="00E73CDF"/>
    <w:rsid w:val="00E842F8"/>
    <w:rsid w:val="00E8669D"/>
    <w:rsid w:val="00E92335"/>
    <w:rsid w:val="00EC11B5"/>
    <w:rsid w:val="00ED46A8"/>
    <w:rsid w:val="00EE16F4"/>
    <w:rsid w:val="00EF35C8"/>
    <w:rsid w:val="00F21D1F"/>
    <w:rsid w:val="00F42DE8"/>
    <w:rsid w:val="00F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4EE08"/>
  <w15:docId w15:val="{3BED02AA-0B0F-4056-A638-F484A236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rsid w:val="003E7932"/>
    <w:rPr>
      <w:rFonts w:ascii="Montserrat" w:eastAsia="Montserrat" w:hAnsi="Montserrat" w:cs="Montserra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rsid w:val="003E7932"/>
    <w:rPr>
      <w:sz w:val="12"/>
      <w:szCs w:val="12"/>
    </w:rPr>
  </w:style>
  <w:style w:type="paragraph" w:styleId="Akapitzlist">
    <w:name w:val="List Paragraph"/>
    <w:aliases w:val="widoący,Bullets"/>
    <w:basedOn w:val="Normalny"/>
    <w:link w:val="AkapitzlistZnak"/>
    <w:uiPriority w:val="34"/>
    <w:qFormat/>
    <w:rsid w:val="003E7932"/>
  </w:style>
  <w:style w:type="paragraph" w:customStyle="1" w:styleId="TableParagraph">
    <w:name w:val="Table Paragraph"/>
    <w:basedOn w:val="Normalny"/>
    <w:uiPriority w:val="1"/>
    <w:rsid w:val="003E7932"/>
  </w:style>
  <w:style w:type="paragraph" w:styleId="Tekstdymka">
    <w:name w:val="Balloon Text"/>
    <w:basedOn w:val="Normalny"/>
    <w:link w:val="TekstdymkaZnak"/>
    <w:uiPriority w:val="99"/>
    <w:semiHidden/>
    <w:unhideWhenUsed/>
    <w:rsid w:val="006241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190"/>
    <w:rPr>
      <w:rFonts w:ascii="Tahoma" w:eastAsia="Montserrat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24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4190"/>
    <w:rPr>
      <w:rFonts w:ascii="Montserrat" w:eastAsia="Montserrat" w:hAnsi="Montserrat" w:cs="Montserra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4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190"/>
    <w:rPr>
      <w:rFonts w:ascii="Montserrat" w:eastAsia="Montserrat" w:hAnsi="Montserrat" w:cs="Montserrat"/>
      <w:lang w:val="pl-PL"/>
    </w:rPr>
  </w:style>
  <w:style w:type="paragraph" w:customStyle="1" w:styleId="DATA">
    <w:name w:val="DATA"/>
    <w:basedOn w:val="Normalny"/>
    <w:link w:val="DATAZnak"/>
    <w:uiPriority w:val="1"/>
    <w:qFormat/>
    <w:rsid w:val="00996578"/>
    <w:rPr>
      <w:rFonts w:ascii="Montserrat Medium" w:eastAsiaTheme="minorHAnsi" w:hAnsi="Montserrat Medium" w:cs="Montserrat-Medium"/>
      <w:color w:val="575756"/>
      <w:sz w:val="18"/>
      <w:szCs w:val="18"/>
    </w:rPr>
  </w:style>
  <w:style w:type="paragraph" w:customStyle="1" w:styleId="Nagweknr1">
    <w:name w:val="Nagłówek nr 1"/>
    <w:basedOn w:val="Normalny"/>
    <w:link w:val="Nagweknr1Znak"/>
    <w:uiPriority w:val="1"/>
    <w:qFormat/>
    <w:rsid w:val="00996578"/>
    <w:rPr>
      <w:b/>
      <w:color w:val="005F42"/>
      <w:sz w:val="32"/>
      <w:szCs w:val="32"/>
    </w:rPr>
  </w:style>
  <w:style w:type="character" w:customStyle="1" w:styleId="DATAZnak">
    <w:name w:val="DATA Znak"/>
    <w:basedOn w:val="Domylnaczcionkaakapitu"/>
    <w:link w:val="DATA"/>
    <w:uiPriority w:val="1"/>
    <w:rsid w:val="00996578"/>
    <w:rPr>
      <w:rFonts w:ascii="Montserrat Medium" w:hAnsi="Montserrat Medium" w:cs="Montserrat-Medium"/>
      <w:color w:val="575756"/>
      <w:sz w:val="18"/>
      <w:szCs w:val="18"/>
      <w:lang w:val="pl-PL"/>
    </w:rPr>
  </w:style>
  <w:style w:type="paragraph" w:customStyle="1" w:styleId="Nagweknr2">
    <w:name w:val="Nagłówek nr 2"/>
    <w:basedOn w:val="Normalny"/>
    <w:link w:val="Nagweknr2Znak"/>
    <w:uiPriority w:val="1"/>
    <w:qFormat/>
    <w:rsid w:val="00996578"/>
    <w:rPr>
      <w:color w:val="005F42"/>
      <w:sz w:val="32"/>
      <w:szCs w:val="32"/>
    </w:rPr>
  </w:style>
  <w:style w:type="character" w:customStyle="1" w:styleId="Nagweknr1Znak">
    <w:name w:val="Nagłówek nr 1 Znak"/>
    <w:basedOn w:val="Domylnaczcionkaakapitu"/>
    <w:link w:val="Nagweknr1"/>
    <w:uiPriority w:val="1"/>
    <w:rsid w:val="00996578"/>
    <w:rPr>
      <w:rFonts w:ascii="Montserrat" w:eastAsia="Montserrat" w:hAnsi="Montserrat" w:cs="Montserrat"/>
      <w:b/>
      <w:color w:val="005F42"/>
      <w:sz w:val="32"/>
      <w:szCs w:val="32"/>
      <w:lang w:val="pl-PL"/>
    </w:rPr>
  </w:style>
  <w:style w:type="paragraph" w:customStyle="1" w:styleId="Tekstgwny">
    <w:name w:val="Tekst główny"/>
    <w:basedOn w:val="Normalny"/>
    <w:link w:val="TekstgwnyZnak"/>
    <w:uiPriority w:val="1"/>
    <w:qFormat/>
    <w:rsid w:val="00996578"/>
    <w:rPr>
      <w:color w:val="575756"/>
      <w:sz w:val="18"/>
      <w:szCs w:val="18"/>
    </w:rPr>
  </w:style>
  <w:style w:type="character" w:customStyle="1" w:styleId="Nagweknr2Znak">
    <w:name w:val="Nagłówek nr 2 Znak"/>
    <w:basedOn w:val="Domylnaczcionkaakapitu"/>
    <w:link w:val="Nagweknr2"/>
    <w:uiPriority w:val="1"/>
    <w:rsid w:val="00996578"/>
    <w:rPr>
      <w:rFonts w:ascii="Montserrat" w:eastAsia="Montserrat" w:hAnsi="Montserrat" w:cs="Montserrat"/>
      <w:color w:val="005F42"/>
      <w:sz w:val="32"/>
      <w:szCs w:val="32"/>
      <w:lang w:val="pl-PL"/>
    </w:rPr>
  </w:style>
  <w:style w:type="paragraph" w:customStyle="1" w:styleId="rdtytu">
    <w:name w:val="Śródtytuł"/>
    <w:basedOn w:val="Normalny"/>
    <w:link w:val="rdtytuZnak"/>
    <w:uiPriority w:val="1"/>
    <w:qFormat/>
    <w:rsid w:val="00996578"/>
    <w:rPr>
      <w:b/>
      <w:color w:val="575756"/>
      <w:sz w:val="18"/>
      <w:szCs w:val="18"/>
    </w:rPr>
  </w:style>
  <w:style w:type="character" w:customStyle="1" w:styleId="TekstgwnyZnak">
    <w:name w:val="Tekst główny Znak"/>
    <w:basedOn w:val="Domylnaczcionkaakapitu"/>
    <w:link w:val="Tekstgwny"/>
    <w:uiPriority w:val="1"/>
    <w:rsid w:val="00996578"/>
    <w:rPr>
      <w:rFonts w:ascii="Montserrat" w:eastAsia="Montserrat" w:hAnsi="Montserrat" w:cs="Montserrat"/>
      <w:color w:val="575756"/>
      <w:sz w:val="18"/>
      <w:szCs w:val="18"/>
      <w:lang w:val="pl-PL"/>
    </w:rPr>
  </w:style>
  <w:style w:type="character" w:customStyle="1" w:styleId="rdtytuZnak">
    <w:name w:val="Śródtytuł Znak"/>
    <w:basedOn w:val="Domylnaczcionkaakapitu"/>
    <w:link w:val="rdtytu"/>
    <w:uiPriority w:val="1"/>
    <w:rsid w:val="00996578"/>
    <w:rPr>
      <w:rFonts w:ascii="Montserrat" w:eastAsia="Montserrat" w:hAnsi="Montserrat" w:cs="Montserrat"/>
      <w:b/>
      <w:color w:val="575756"/>
      <w:sz w:val="18"/>
      <w:szCs w:val="18"/>
      <w:lang w:val="pl-PL"/>
    </w:rPr>
  </w:style>
  <w:style w:type="character" w:customStyle="1" w:styleId="AkapitzlistZnak">
    <w:name w:val="Akapit z listą Znak"/>
    <w:aliases w:val="widoący Znak,Bullets Znak"/>
    <w:link w:val="Akapitzlist"/>
    <w:uiPriority w:val="34"/>
    <w:locked/>
    <w:rsid w:val="00A129E0"/>
    <w:rPr>
      <w:rFonts w:ascii="Montserrat" w:eastAsia="Montserrat" w:hAnsi="Montserrat" w:cs="Montserrat"/>
      <w:lang w:val="pl-PL"/>
    </w:rPr>
  </w:style>
  <w:style w:type="paragraph" w:customStyle="1" w:styleId="Normalny1">
    <w:name w:val="Normalny1"/>
    <w:basedOn w:val="Normalny"/>
    <w:rsid w:val="00A129E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F35C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42B6989ECC684785A303C6FC769085" ma:contentTypeVersion="1" ma:contentTypeDescription="Utwórz nowy dokument." ma:contentTypeScope="" ma:versionID="10342bde87bfcfec38fde96cb9edbd51">
  <xsd:schema xmlns:xsd="http://www.w3.org/2001/XMLSchema" xmlns:p="http://schemas.microsoft.com/office/2006/metadata/properties" targetNamespace="http://schemas.microsoft.com/office/2006/metadata/properties" ma:root="true" ma:fieldsID="75b4d24c33284de1de9c059c112c59e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FCDD5-ADB6-4CB9-AE5C-F72ECB9F7E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96E37E-DDDF-4C83-A233-2C63251CF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A8E7D8F-0B1D-4E96-BB87-7D43EE7492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F743C-3BBC-4780-9D82-F9E40B18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2007</Words>
  <Characters>13210</Characters>
  <Application>Microsoft Office Word</Application>
  <DocSecurity>0</DocSecurity>
  <Lines>275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</dc:creator>
  <cp:lastModifiedBy>Kruziński Michał (DRW)</cp:lastModifiedBy>
  <cp:revision>36</cp:revision>
  <dcterms:created xsi:type="dcterms:W3CDTF">2023-10-05T07:13:00Z</dcterms:created>
  <dcterms:modified xsi:type="dcterms:W3CDTF">2026-06-05T09:37:00Z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0x010100B642B6989ECC684785A303C6FC769085</vt:lpwstr>
  </property>
  <property fmtid="{D5CDD505-2E9C-101B-9397-08002B2CF9AE}" pid="6" name="MSIP_Label_da0d7ebb-8d5f-4d70-ab59-1b8ea1828e86_Enabled">
    <vt:lpwstr>true</vt:lpwstr>
  </property>
  <property fmtid="{D5CDD505-2E9C-101B-9397-08002B2CF9AE}" pid="7" name="MSIP_Label_da0d7ebb-8d5f-4d70-ab59-1b8ea1828e86_SetDate">
    <vt:lpwstr>2023-10-05T07:13:24Z</vt:lpwstr>
  </property>
  <property fmtid="{D5CDD505-2E9C-101B-9397-08002B2CF9AE}" pid="8" name="MSIP_Label_da0d7ebb-8d5f-4d70-ab59-1b8ea1828e86_Method">
    <vt:lpwstr>Privileged</vt:lpwstr>
  </property>
  <property fmtid="{D5CDD505-2E9C-101B-9397-08002B2CF9AE}" pid="9" name="MSIP_Label_da0d7ebb-8d5f-4d70-ab59-1b8ea1828e86_Name">
    <vt:lpwstr>da0d7ebb-8d5f-4d70-ab59-1b8ea1828e86</vt:lpwstr>
  </property>
  <property fmtid="{D5CDD505-2E9C-101B-9397-08002B2CF9AE}" pid="10" name="MSIP_Label_da0d7ebb-8d5f-4d70-ab59-1b8ea1828e86_SiteId">
    <vt:lpwstr>f496e8ac-cda8-4c70-b009-f8e1cc805d20</vt:lpwstr>
  </property>
  <property fmtid="{D5CDD505-2E9C-101B-9397-08002B2CF9AE}" pid="11" name="MSIP_Label_da0d7ebb-8d5f-4d70-ab59-1b8ea1828e86_ActionId">
    <vt:lpwstr>ae759780-2ec5-4be7-a277-c359dac407a7</vt:lpwstr>
  </property>
  <property fmtid="{D5CDD505-2E9C-101B-9397-08002B2CF9AE}" pid="12" name="MSIP_Label_da0d7ebb-8d5f-4d70-ab59-1b8ea1828e86_ContentBits">
    <vt:lpwstr>0</vt:lpwstr>
  </property>
</Properties>
</file>