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79B" w14:textId="77777777" w:rsidR="00E1529E" w:rsidRPr="00FB28A4" w:rsidRDefault="00E1529E" w:rsidP="00E1529E">
      <w:pPr>
        <w:spacing w:line="288" w:lineRule="auto"/>
        <w:ind w:left="6372"/>
        <w:rPr>
          <w:rFonts w:ascii="Arial" w:hAnsi="Arial" w:cs="Arial"/>
          <w:sz w:val="20"/>
          <w:szCs w:val="20"/>
        </w:rPr>
      </w:pPr>
    </w:p>
    <w:p w14:paraId="4B8AD080" w14:textId="77777777" w:rsidR="00E1529E" w:rsidRPr="00FB28A4" w:rsidRDefault="00E1529E" w:rsidP="00E1529E">
      <w:pPr>
        <w:spacing w:line="288" w:lineRule="auto"/>
        <w:ind w:left="6372"/>
        <w:rPr>
          <w:rFonts w:ascii="Arial" w:hAnsi="Arial" w:cs="Arial"/>
          <w:sz w:val="20"/>
          <w:szCs w:val="20"/>
        </w:rPr>
      </w:pPr>
    </w:p>
    <w:p w14:paraId="276DAB5F" w14:textId="77777777" w:rsidR="00E1529E" w:rsidRPr="00FB28A4" w:rsidRDefault="00E1529E" w:rsidP="00E1529E">
      <w:pPr>
        <w:jc w:val="right"/>
        <w:rPr>
          <w:rFonts w:ascii="Arial" w:hAnsi="Arial" w:cs="Arial"/>
          <w:sz w:val="20"/>
          <w:szCs w:val="20"/>
        </w:rPr>
      </w:pPr>
    </w:p>
    <w:p w14:paraId="3554326E" w14:textId="77777777" w:rsidR="00E1529E" w:rsidRPr="00FB28A4" w:rsidRDefault="00E1529E" w:rsidP="00E1529E">
      <w:pPr>
        <w:rPr>
          <w:rFonts w:ascii="Arial" w:hAnsi="Arial" w:cs="Arial"/>
          <w:b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 xml:space="preserve">Załącznik nr 1 do Zapytania ofertowego z dnia </w:t>
      </w:r>
      <w:r>
        <w:rPr>
          <w:rFonts w:ascii="Arial" w:hAnsi="Arial" w:cs="Arial"/>
          <w:b/>
          <w:sz w:val="20"/>
          <w:szCs w:val="20"/>
        </w:rPr>
        <w:t>24/05/2022</w:t>
      </w:r>
    </w:p>
    <w:p w14:paraId="7A1F7468" w14:textId="77777777" w:rsidR="00E1529E" w:rsidRPr="00FB28A4" w:rsidRDefault="00E1529E" w:rsidP="00E1529E">
      <w:pPr>
        <w:jc w:val="center"/>
        <w:rPr>
          <w:rFonts w:ascii="Arial" w:hAnsi="Arial" w:cs="Arial"/>
          <w:b/>
          <w:sz w:val="20"/>
          <w:szCs w:val="20"/>
        </w:rPr>
      </w:pPr>
    </w:p>
    <w:p w14:paraId="23C1C0CE" w14:textId="77777777" w:rsidR="00E1529E" w:rsidRPr="00FB28A4" w:rsidRDefault="00E1529E" w:rsidP="00E1529E">
      <w:pPr>
        <w:jc w:val="center"/>
        <w:rPr>
          <w:rFonts w:ascii="Arial" w:hAnsi="Arial" w:cs="Arial"/>
          <w:b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 xml:space="preserve">Ogólne warunki prowadzenia przetargu w sprawie sprzedaży </w:t>
      </w:r>
      <w:r>
        <w:rPr>
          <w:rFonts w:ascii="Arial" w:hAnsi="Arial" w:cs="Arial"/>
          <w:b/>
          <w:sz w:val="20"/>
          <w:szCs w:val="20"/>
        </w:rPr>
        <w:t xml:space="preserve">Portfela </w:t>
      </w:r>
      <w:r w:rsidRPr="00FB28A4">
        <w:rPr>
          <w:rFonts w:ascii="Arial" w:hAnsi="Arial" w:cs="Arial"/>
          <w:b/>
          <w:sz w:val="20"/>
          <w:szCs w:val="20"/>
        </w:rPr>
        <w:t xml:space="preserve">wierzytelności przez Bank Ochrony Środowiska Spółkę Akcyjną </w:t>
      </w:r>
    </w:p>
    <w:p w14:paraId="5B0E5E99" w14:textId="77777777" w:rsidR="00E1529E" w:rsidRPr="00FB28A4" w:rsidRDefault="00E1529E" w:rsidP="00E1529E">
      <w:pPr>
        <w:jc w:val="center"/>
        <w:rPr>
          <w:rFonts w:ascii="Arial" w:hAnsi="Arial" w:cs="Arial"/>
          <w:b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>z siedzibą w Warszawie.</w:t>
      </w:r>
    </w:p>
    <w:p w14:paraId="51500386" w14:textId="77777777" w:rsidR="00E1529E" w:rsidRPr="00FB28A4" w:rsidRDefault="00E1529E" w:rsidP="00E1529E">
      <w:pPr>
        <w:jc w:val="both"/>
        <w:rPr>
          <w:rFonts w:ascii="Arial" w:hAnsi="Arial" w:cs="Arial"/>
          <w:b/>
          <w:sz w:val="20"/>
          <w:szCs w:val="20"/>
        </w:rPr>
      </w:pPr>
    </w:p>
    <w:p w14:paraId="05A413C2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0296B86C" w14:textId="77777777" w:rsidR="00E1529E" w:rsidRPr="00FB28A4" w:rsidRDefault="00E1529E" w:rsidP="00E1529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28A4">
        <w:rPr>
          <w:rFonts w:ascii="Arial" w:hAnsi="Arial" w:cs="Arial"/>
          <w:b/>
          <w:sz w:val="20"/>
          <w:szCs w:val="20"/>
          <w:u w:val="single"/>
        </w:rPr>
        <w:t>PRZEDMIOT SPRZEDAŻY</w:t>
      </w:r>
    </w:p>
    <w:p w14:paraId="6B2DAA86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51F3C5BA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 xml:space="preserve">Sprzedażą objęte zostaną wierzytelności zaklasyfikowane do kategorii ryzyka ‘‘stracone’’, zgodnie z Rozporządzeniem Ministra Finansów z dnia 16 grudnia 2008 r. w sprawie zasad tworzenia rezerw na ryzyko związane z działalnością banków przysługujące Bankowi Ochrony Środowiska Spółce Akcyjnej z siedzibą w Warszawie (dalej jako </w:t>
      </w:r>
      <w:r w:rsidRPr="00FB28A4">
        <w:rPr>
          <w:rFonts w:ascii="Arial" w:hAnsi="Arial" w:cs="Arial"/>
          <w:b/>
          <w:sz w:val="20"/>
          <w:szCs w:val="20"/>
        </w:rPr>
        <w:t>„Bank”</w:t>
      </w:r>
      <w:r w:rsidRPr="00FB28A4">
        <w:rPr>
          <w:rFonts w:ascii="Arial" w:hAnsi="Arial" w:cs="Arial"/>
          <w:sz w:val="20"/>
          <w:szCs w:val="20"/>
        </w:rPr>
        <w:t>) wobec osób fizycznych, mikroprzedsiębiorstw, spółek osobowych i kapitałowych oraz wspólników spółek cywilnych i jawnych.</w:t>
      </w:r>
    </w:p>
    <w:p w14:paraId="0FF54278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4F03BD86" w14:textId="77777777" w:rsidR="00E1529E" w:rsidRPr="00FB28A4" w:rsidRDefault="00E1529E" w:rsidP="00E1529E">
      <w:pPr>
        <w:pStyle w:val="Listapunktowana3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 xml:space="preserve">Sprzedażą objęte zostaną wierzytelności </w:t>
      </w:r>
      <w:r>
        <w:rPr>
          <w:rFonts w:ascii="Arial" w:hAnsi="Arial" w:cs="Arial"/>
          <w:sz w:val="20"/>
          <w:szCs w:val="20"/>
        </w:rPr>
        <w:t>w liczbie 164 sztuk na łączną kwotę ok. 155 mln PLN</w:t>
      </w:r>
      <w:r>
        <w:rPr>
          <w:rFonts w:ascii="Arial" w:hAnsi="Arial" w:cs="Arial"/>
          <w:sz w:val="20"/>
          <w:szCs w:val="20"/>
        </w:rPr>
        <w:br/>
      </w:r>
      <w:r w:rsidRPr="00FB28A4">
        <w:rPr>
          <w:rFonts w:ascii="Arial" w:hAnsi="Arial" w:cs="Arial"/>
          <w:sz w:val="20"/>
          <w:szCs w:val="20"/>
          <w:u w:val="single"/>
        </w:rPr>
        <w:t>z tytułu należności głównej oraz należności ubocznych</w:t>
      </w:r>
      <w:r>
        <w:rPr>
          <w:rFonts w:ascii="Arial" w:hAnsi="Arial" w:cs="Arial"/>
          <w:sz w:val="20"/>
          <w:szCs w:val="20"/>
        </w:rPr>
        <w:t xml:space="preserve"> (dalej jako „Portfel wierzytelności”) </w:t>
      </w:r>
      <w:r w:rsidRPr="00FB28A4">
        <w:rPr>
          <w:rFonts w:ascii="Arial" w:hAnsi="Arial" w:cs="Arial"/>
          <w:sz w:val="20"/>
          <w:szCs w:val="20"/>
        </w:rPr>
        <w:t>przysługujące Bankowi</w:t>
      </w:r>
      <w:r>
        <w:rPr>
          <w:rFonts w:ascii="Arial" w:hAnsi="Arial" w:cs="Arial"/>
          <w:sz w:val="20"/>
          <w:szCs w:val="20"/>
        </w:rPr>
        <w:t xml:space="preserve"> </w:t>
      </w:r>
      <w:r w:rsidRPr="00FB28A4">
        <w:rPr>
          <w:rFonts w:ascii="Arial" w:hAnsi="Arial" w:cs="Arial"/>
          <w:sz w:val="20"/>
          <w:szCs w:val="20"/>
        </w:rPr>
        <w:t>powstałe między innymi z tytułu:</w:t>
      </w:r>
    </w:p>
    <w:p w14:paraId="5D8AA5E7" w14:textId="77777777" w:rsidR="00E1529E" w:rsidRPr="00FF7A4E" w:rsidRDefault="00E1529E" w:rsidP="00E1529E">
      <w:pPr>
        <w:pStyle w:val="Listapunktowan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A4E">
        <w:rPr>
          <w:rFonts w:ascii="Arial" w:hAnsi="Arial" w:cs="Arial"/>
          <w:sz w:val="20"/>
          <w:szCs w:val="20"/>
        </w:rPr>
        <w:t>kredytów: w rachunkach bieżących, inwestycyjnych, obrotowych i innych,</w:t>
      </w:r>
    </w:p>
    <w:p w14:paraId="2B0B8229" w14:textId="77777777" w:rsidR="00E1529E" w:rsidRPr="00FF7A4E" w:rsidRDefault="00E1529E" w:rsidP="00E1529E">
      <w:pPr>
        <w:pStyle w:val="Listapunktowan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A4E">
        <w:rPr>
          <w:rFonts w:ascii="Arial" w:hAnsi="Arial" w:cs="Arial"/>
          <w:sz w:val="20"/>
          <w:szCs w:val="20"/>
        </w:rPr>
        <w:t>zrealizowanych gwarancji bankowych,</w:t>
      </w:r>
    </w:p>
    <w:p w14:paraId="738D204E" w14:textId="77777777" w:rsidR="00E1529E" w:rsidRPr="00FF7A4E" w:rsidRDefault="00E1529E" w:rsidP="00E1529E">
      <w:pPr>
        <w:pStyle w:val="Listapunktowan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A4E">
        <w:rPr>
          <w:rFonts w:ascii="Arial" w:hAnsi="Arial" w:cs="Arial"/>
          <w:sz w:val="20"/>
          <w:szCs w:val="20"/>
        </w:rPr>
        <w:t>opłat / prowizji za prowadzenie rachunków bankowych.</w:t>
      </w:r>
    </w:p>
    <w:p w14:paraId="081D4022" w14:textId="77777777" w:rsidR="00E1529E" w:rsidRPr="00FB28A4" w:rsidRDefault="00E1529E" w:rsidP="00E1529E">
      <w:pPr>
        <w:tabs>
          <w:tab w:val="left" w:pos="1418"/>
          <w:tab w:val="left" w:pos="15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Portfel wierzytelności składa się z </w:t>
      </w:r>
      <w:r w:rsidRPr="00FB28A4">
        <w:rPr>
          <w:rFonts w:ascii="Arial" w:hAnsi="Arial" w:cs="Arial"/>
          <w:sz w:val="20"/>
          <w:szCs w:val="20"/>
        </w:rPr>
        <w:t>wierzytelności segmentu korporacyjnego</w:t>
      </w:r>
      <w:r w:rsidRPr="00FB28A4">
        <w:rPr>
          <w:rFonts w:ascii="Arial" w:hAnsi="Arial" w:cs="Arial"/>
          <w:b/>
          <w:sz w:val="20"/>
          <w:szCs w:val="20"/>
        </w:rPr>
        <w:t xml:space="preserve"> </w:t>
      </w:r>
      <w:r w:rsidRPr="00FB28A4">
        <w:rPr>
          <w:rFonts w:ascii="Arial" w:hAnsi="Arial" w:cs="Arial"/>
          <w:sz w:val="20"/>
          <w:szCs w:val="20"/>
        </w:rPr>
        <w:t>z zabezpieczeniami, bez zabezpieczeń i ze zrealizowanymi zabezpieczeniami</w:t>
      </w:r>
      <w:bookmarkStart w:id="0" w:name="_Hlk58585970"/>
      <w:r>
        <w:rPr>
          <w:rFonts w:ascii="Arial" w:hAnsi="Arial" w:cs="Arial"/>
          <w:sz w:val="20"/>
          <w:szCs w:val="20"/>
        </w:rPr>
        <w:t>.</w:t>
      </w:r>
    </w:p>
    <w:p w14:paraId="65320C20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28A4">
        <w:rPr>
          <w:rFonts w:ascii="Arial" w:hAnsi="Arial" w:cs="Arial"/>
          <w:bCs/>
          <w:sz w:val="20"/>
          <w:szCs w:val="20"/>
        </w:rPr>
        <w:t>Sprzedaży może podlegać</w:t>
      </w:r>
      <w:r>
        <w:rPr>
          <w:rFonts w:ascii="Arial" w:hAnsi="Arial" w:cs="Arial"/>
          <w:bCs/>
          <w:sz w:val="20"/>
          <w:szCs w:val="20"/>
        </w:rPr>
        <w:t xml:space="preserve"> tylko</w:t>
      </w:r>
      <w:r w:rsidRPr="00FB28A4">
        <w:rPr>
          <w:rFonts w:ascii="Arial" w:hAnsi="Arial" w:cs="Arial"/>
          <w:bCs/>
          <w:sz w:val="20"/>
          <w:szCs w:val="20"/>
        </w:rPr>
        <w:t> cały Portfel</w:t>
      </w:r>
      <w:r>
        <w:rPr>
          <w:rFonts w:ascii="Arial" w:hAnsi="Arial" w:cs="Arial"/>
          <w:bCs/>
          <w:sz w:val="20"/>
          <w:szCs w:val="20"/>
        </w:rPr>
        <w:t xml:space="preserve"> wierzytelności.</w:t>
      </w:r>
    </w:p>
    <w:p w14:paraId="4C08152B" w14:textId="77777777" w:rsidR="00E1529E" w:rsidRDefault="00E1529E" w:rsidP="00E152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28A4">
        <w:rPr>
          <w:rFonts w:ascii="Arial" w:hAnsi="Arial" w:cs="Arial"/>
          <w:bCs/>
          <w:sz w:val="20"/>
          <w:szCs w:val="20"/>
        </w:rPr>
        <w:t xml:space="preserve">Bank zastrzega, iż liczba wierzytelności w Portfelu </w:t>
      </w:r>
      <w:r>
        <w:rPr>
          <w:rFonts w:ascii="Arial" w:hAnsi="Arial" w:cs="Arial"/>
          <w:bCs/>
          <w:sz w:val="20"/>
          <w:szCs w:val="20"/>
        </w:rPr>
        <w:t xml:space="preserve">wierzytelności </w:t>
      </w:r>
      <w:r w:rsidRPr="00FB28A4">
        <w:rPr>
          <w:rFonts w:ascii="Arial" w:hAnsi="Arial" w:cs="Arial"/>
          <w:bCs/>
          <w:sz w:val="20"/>
          <w:szCs w:val="20"/>
        </w:rPr>
        <w:t xml:space="preserve">i jego wysokość nominalna może ulec zmianie. </w:t>
      </w:r>
    </w:p>
    <w:p w14:paraId="6D2101E3" w14:textId="77777777" w:rsidR="00E1529E" w:rsidRDefault="00E1529E" w:rsidP="00E152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52578E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FF5A041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4D11A3E5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38C97091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22F0457E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76A6ABF1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731F2D17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0E11C4F8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5ABE0A13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47956CA5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4A75C571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23244F2D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42FE43FE" w14:textId="77777777" w:rsidR="00E1529E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2F834E87" w14:textId="77777777" w:rsidR="00E1529E" w:rsidRPr="00FB28A4" w:rsidRDefault="00E1529E" w:rsidP="00E1529E">
      <w:pPr>
        <w:jc w:val="both"/>
        <w:rPr>
          <w:rFonts w:ascii="Arial" w:hAnsi="Arial" w:cs="Arial"/>
          <w:bCs/>
          <w:sz w:val="20"/>
          <w:szCs w:val="20"/>
        </w:rPr>
      </w:pPr>
    </w:p>
    <w:p w14:paraId="5B68500E" w14:textId="77777777" w:rsidR="00E1529E" w:rsidRPr="00FB28A4" w:rsidRDefault="00E1529E" w:rsidP="00E1529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28A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WYMAGANIA DOTYCZĄCE OFERENTA (w zakresie dopuszczenia do dalszego etapu postępowania przetargowego)</w:t>
      </w:r>
    </w:p>
    <w:p w14:paraId="4BD42012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23DF3D77" w14:textId="77777777" w:rsidR="00E1529E" w:rsidRPr="00FB28A4" w:rsidRDefault="00E1529E" w:rsidP="00E152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Oferentem może być fundusz sekurytyzacyjny, towarzystwo funduszy inwestycyjnych tworzące fundusz sekurytyzacyjny lub inny podmiot.</w:t>
      </w:r>
    </w:p>
    <w:p w14:paraId="4645B96C" w14:textId="77777777" w:rsidR="00E1529E" w:rsidRPr="00FB28A4" w:rsidRDefault="00E1529E" w:rsidP="00E152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Oferent najpóźniej w dniu złożenia pisma wyrażającego zainteresowanie udziałem w postępowaniu przetargowym powinien złożyć:</w:t>
      </w:r>
    </w:p>
    <w:p w14:paraId="7BE7511A" w14:textId="77777777" w:rsidR="00E1529E" w:rsidRPr="00FB28A4" w:rsidRDefault="00E1529E" w:rsidP="00E1529E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 xml:space="preserve">„oświadczenie o zachowaniu poufności” (wzór w załączeniu), </w:t>
      </w:r>
    </w:p>
    <w:p w14:paraId="741F4FB9" w14:textId="77777777" w:rsidR="00E1529E" w:rsidRPr="00FB28A4" w:rsidRDefault="00E1529E" w:rsidP="00E1529E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 xml:space="preserve">odpis z sądowego rejestru funduszy inwestycyjnych lub aktualny odpis z KRS Oferenta, </w:t>
      </w:r>
    </w:p>
    <w:p w14:paraId="70426105" w14:textId="77777777" w:rsidR="00E1529E" w:rsidRPr="00FB28A4" w:rsidRDefault="00E1529E" w:rsidP="00E1529E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dokumenty potwierdzające prawidłowe umocowanie osób podpisujących pismo wyrażające zainteresowanie udziałem w postępowaniu przetargowym oraz oświadczenie o zachowaniu poufności,</w:t>
      </w:r>
    </w:p>
    <w:p w14:paraId="3D90DD8D" w14:textId="77777777" w:rsidR="00E1529E" w:rsidRPr="00CC0BC3" w:rsidRDefault="00E1529E" w:rsidP="00E1529E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 xml:space="preserve">dane osoby/osób upoważnionych do kontaktów z Bankiem w sprawie postępowania przetargowego wraz z adresem do kontaktów. Adresem do kontaktów może być wyłącznie adres w Polsce.     </w:t>
      </w:r>
    </w:p>
    <w:p w14:paraId="799030E0" w14:textId="77777777" w:rsidR="00E1529E" w:rsidRPr="00FB28A4" w:rsidRDefault="00E1529E" w:rsidP="00E152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Oferentem nie może być:</w:t>
      </w:r>
    </w:p>
    <w:p w14:paraId="2BB00C98" w14:textId="77777777" w:rsidR="00E1529E" w:rsidRPr="00FB28A4" w:rsidRDefault="00E1529E" w:rsidP="00E1529E">
      <w:pPr>
        <w:pStyle w:val="Akapitzlist"/>
        <w:numPr>
          <w:ilvl w:val="0"/>
          <w:numId w:val="2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żaden z dłużników sprzedawanych wierzytelności,</w:t>
      </w:r>
    </w:p>
    <w:p w14:paraId="1BDFE994" w14:textId="77777777" w:rsidR="00E1529E" w:rsidRPr="00CC0BC3" w:rsidRDefault="00E1529E" w:rsidP="00E1529E">
      <w:pPr>
        <w:pStyle w:val="Akapitzlist"/>
        <w:numPr>
          <w:ilvl w:val="0"/>
          <w:numId w:val="2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podmiot dominujący lub podmiot zależny w rozumieniu Ustawy z dnia 29 lipca 2005 r. – o ofercie publicznej i warunkach wprowadzania instrumentów finansowych do zorganizowanego systemu obrotu oraz o spółkach publicznych (</w:t>
      </w:r>
      <w:r w:rsidRPr="004F741A">
        <w:rPr>
          <w:rFonts w:ascii="Arial" w:hAnsi="Arial" w:cs="Arial"/>
          <w:sz w:val="20"/>
          <w:szCs w:val="20"/>
        </w:rPr>
        <w:t>Dz.U.2021.1983 t.j. z dnia 2021.11.02</w:t>
      </w:r>
      <w:r>
        <w:rPr>
          <w:rFonts w:ascii="Arial" w:hAnsi="Arial" w:cs="Arial"/>
          <w:sz w:val="20"/>
          <w:szCs w:val="20"/>
        </w:rPr>
        <w:t xml:space="preserve"> z poźn. zm. </w:t>
      </w:r>
      <w:r w:rsidRPr="00FB28A4">
        <w:rPr>
          <w:rFonts w:ascii="Arial" w:hAnsi="Arial" w:cs="Arial"/>
          <w:sz w:val="20"/>
          <w:szCs w:val="20"/>
        </w:rPr>
        <w:t>) w stosunku do dłużników głównych sprzedawanych wierzytelności.</w:t>
      </w:r>
    </w:p>
    <w:p w14:paraId="78109BBE" w14:textId="77777777" w:rsidR="00E1529E" w:rsidRPr="00FB28A4" w:rsidRDefault="00E1529E" w:rsidP="00E1529E">
      <w:pPr>
        <w:jc w:val="both"/>
        <w:rPr>
          <w:rFonts w:ascii="Arial" w:hAnsi="Arial" w:cs="Arial"/>
          <w:b/>
          <w:sz w:val="20"/>
          <w:szCs w:val="20"/>
        </w:rPr>
      </w:pPr>
    </w:p>
    <w:p w14:paraId="3033C514" w14:textId="77777777" w:rsidR="00E1529E" w:rsidRPr="00FB28A4" w:rsidRDefault="00E1529E" w:rsidP="00E1529E">
      <w:pPr>
        <w:tabs>
          <w:tab w:val="left" w:pos="-1440"/>
          <w:tab w:val="right" w:pos="-1368"/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>III.</w:t>
      </w:r>
      <w:r w:rsidRPr="00FB28A4">
        <w:rPr>
          <w:rFonts w:ascii="Arial" w:hAnsi="Arial" w:cs="Arial"/>
          <w:b/>
          <w:sz w:val="20"/>
          <w:szCs w:val="20"/>
        </w:rPr>
        <w:tab/>
      </w:r>
      <w:r w:rsidRPr="00FB28A4">
        <w:rPr>
          <w:rFonts w:ascii="Arial" w:hAnsi="Arial" w:cs="Arial"/>
          <w:b/>
          <w:sz w:val="20"/>
          <w:szCs w:val="20"/>
          <w:u w:val="single"/>
        </w:rPr>
        <w:t>TERMINY</w:t>
      </w:r>
    </w:p>
    <w:p w14:paraId="4D1C7040" w14:textId="77777777" w:rsidR="00E1529E" w:rsidRPr="00282047" w:rsidRDefault="00E1529E" w:rsidP="00E1529E">
      <w:pPr>
        <w:pStyle w:val="Akapitzlist"/>
        <w:numPr>
          <w:ilvl w:val="0"/>
          <w:numId w:val="9"/>
        </w:numPr>
        <w:tabs>
          <w:tab w:val="left" w:pos="-1440"/>
          <w:tab w:val="right" w:pos="-1368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2047">
        <w:rPr>
          <w:rFonts w:ascii="Arial" w:hAnsi="Arial" w:cs="Arial"/>
          <w:sz w:val="20"/>
          <w:szCs w:val="20"/>
        </w:rPr>
        <w:t xml:space="preserve">Pismo wyrażające zainteresowanie udziałem w postępowaniu przetargowym, podpisane przez osoby prawidłowo umocowane do reprezentacji Oferenta </w:t>
      </w:r>
      <w:r w:rsidRPr="00282047">
        <w:rPr>
          <w:rFonts w:ascii="Arial" w:hAnsi="Arial" w:cs="Arial"/>
          <w:sz w:val="20"/>
          <w:szCs w:val="20"/>
          <w:u w:val="single"/>
        </w:rPr>
        <w:t>należy doręczyć na adres</w:t>
      </w:r>
      <w:r w:rsidRPr="00282047">
        <w:rPr>
          <w:rFonts w:ascii="Arial" w:hAnsi="Arial" w:cs="Arial"/>
          <w:sz w:val="20"/>
          <w:szCs w:val="20"/>
        </w:rPr>
        <w:t xml:space="preserve">: </w:t>
      </w:r>
    </w:p>
    <w:p w14:paraId="570B14E0" w14:textId="77777777" w:rsidR="00E1529E" w:rsidRPr="00FB28A4" w:rsidRDefault="00E1529E" w:rsidP="00E1529E">
      <w:pPr>
        <w:tabs>
          <w:tab w:val="left" w:pos="-1440"/>
          <w:tab w:val="right" w:pos="-136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B28A4">
        <w:rPr>
          <w:rFonts w:ascii="Arial" w:hAnsi="Arial" w:cs="Arial"/>
          <w:b/>
          <w:sz w:val="20"/>
          <w:szCs w:val="20"/>
        </w:rPr>
        <w:t>Bank Ochrony Środowiska S.A. w Warszawie</w:t>
      </w:r>
    </w:p>
    <w:p w14:paraId="5F2CB61B" w14:textId="77777777" w:rsidR="00E1529E" w:rsidRPr="00FB28A4" w:rsidRDefault="00E1529E" w:rsidP="00E1529E">
      <w:pPr>
        <w:tabs>
          <w:tab w:val="left" w:pos="-1440"/>
          <w:tab w:val="right" w:pos="-136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B28A4">
        <w:rPr>
          <w:rFonts w:ascii="Arial" w:hAnsi="Arial" w:cs="Arial"/>
          <w:b/>
          <w:sz w:val="20"/>
          <w:szCs w:val="20"/>
        </w:rPr>
        <w:t>Departament Restrukturyzacji i Windykacji</w:t>
      </w:r>
    </w:p>
    <w:p w14:paraId="515316C1" w14:textId="77777777" w:rsidR="00E1529E" w:rsidRPr="00FB28A4" w:rsidRDefault="00E1529E" w:rsidP="00E1529E">
      <w:pPr>
        <w:tabs>
          <w:tab w:val="left" w:pos="-1440"/>
          <w:tab w:val="right" w:pos="-13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28A4">
        <w:rPr>
          <w:rFonts w:ascii="Arial" w:hAnsi="Arial" w:cs="Arial"/>
          <w:sz w:val="20"/>
          <w:szCs w:val="20"/>
        </w:rPr>
        <w:t xml:space="preserve">ul. Żelazna 32, </w:t>
      </w:r>
    </w:p>
    <w:p w14:paraId="7B9CC7FF" w14:textId="77777777" w:rsidR="00E1529E" w:rsidRPr="00FB28A4" w:rsidRDefault="00E1529E" w:rsidP="00E1529E">
      <w:pPr>
        <w:tabs>
          <w:tab w:val="left" w:pos="-1440"/>
          <w:tab w:val="right" w:pos="-13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28A4">
        <w:rPr>
          <w:rFonts w:ascii="Arial" w:hAnsi="Arial" w:cs="Arial"/>
          <w:sz w:val="20"/>
          <w:szCs w:val="20"/>
        </w:rPr>
        <w:t xml:space="preserve">00-832 Warszawa, </w:t>
      </w:r>
    </w:p>
    <w:p w14:paraId="48B17254" w14:textId="77777777" w:rsidR="00E1529E" w:rsidRPr="00FB28A4" w:rsidRDefault="00E1529E" w:rsidP="00E1529E">
      <w:pPr>
        <w:tabs>
          <w:tab w:val="left" w:pos="-1440"/>
          <w:tab w:val="right" w:pos="-1368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  <w:u w:val="single"/>
        </w:rPr>
        <w:t xml:space="preserve">z dopiskiem </w:t>
      </w:r>
      <w:r w:rsidRPr="00FB28A4">
        <w:rPr>
          <w:rFonts w:ascii="Arial" w:hAnsi="Arial" w:cs="Arial"/>
          <w:i/>
          <w:sz w:val="20"/>
          <w:szCs w:val="20"/>
          <w:u w:val="single"/>
        </w:rPr>
        <w:t>„sprzedaż wierzytelności”</w:t>
      </w:r>
      <w:r w:rsidRPr="00FB28A4">
        <w:rPr>
          <w:rFonts w:ascii="Arial" w:hAnsi="Arial" w:cs="Arial"/>
          <w:sz w:val="20"/>
          <w:szCs w:val="20"/>
          <w:u w:val="single"/>
        </w:rPr>
        <w:t xml:space="preserve"> na ręce: Piotr Wawrzonkiewicz, Roman Klentak w nieprzekraczalnym terminie</w:t>
      </w:r>
      <w:r w:rsidRPr="00FB28A4">
        <w:rPr>
          <w:rFonts w:ascii="Arial" w:hAnsi="Arial" w:cs="Arial"/>
          <w:sz w:val="20"/>
          <w:szCs w:val="20"/>
        </w:rPr>
        <w:t xml:space="preserve"> </w:t>
      </w:r>
      <w:r w:rsidRPr="00E90DC4">
        <w:rPr>
          <w:rFonts w:ascii="Arial" w:hAnsi="Arial" w:cs="Arial"/>
          <w:b/>
          <w:sz w:val="20"/>
          <w:szCs w:val="20"/>
        </w:rPr>
        <w:t>do dnia 06/06/2022 roku do godziny 12:00</w:t>
      </w:r>
      <w:r w:rsidRPr="00E90DC4">
        <w:rPr>
          <w:rFonts w:ascii="Arial" w:hAnsi="Arial" w:cs="Arial"/>
          <w:sz w:val="20"/>
          <w:szCs w:val="20"/>
        </w:rPr>
        <w:t>,</w:t>
      </w:r>
      <w:r w:rsidRPr="00FB28A4">
        <w:rPr>
          <w:rFonts w:ascii="Arial" w:hAnsi="Arial" w:cs="Arial"/>
          <w:sz w:val="20"/>
          <w:szCs w:val="20"/>
        </w:rPr>
        <w:t xml:space="preserve"> przy czym o zachowaniu terminu i godziny decyduje rzeczywisty wpływ pisma do Banku na adres wskazany powyżej.</w:t>
      </w:r>
    </w:p>
    <w:p w14:paraId="5A7BE18C" w14:textId="77777777" w:rsidR="00E1529E" w:rsidRPr="00431FB3" w:rsidRDefault="00E1529E" w:rsidP="00E1529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1FB3">
        <w:rPr>
          <w:rFonts w:ascii="Arial" w:hAnsi="Arial" w:cs="Arial"/>
          <w:sz w:val="20"/>
          <w:szCs w:val="20"/>
        </w:rPr>
        <w:t xml:space="preserve">Pismo o którym mowa w ust. 1 powyżej, może być również podpisane przez osoby prawidłowo umocowane do reprezentacji Oferenta z wykorzystaniem podpisu elektronicznego Szafir KIR. </w:t>
      </w:r>
      <w:r w:rsidRPr="00431FB3">
        <w:rPr>
          <w:rFonts w:ascii="Arial" w:hAnsi="Arial" w:cs="Arial"/>
          <w:sz w:val="20"/>
          <w:szCs w:val="20"/>
        </w:rPr>
        <w:br/>
        <w:t xml:space="preserve">W takim przypadku pismo należy doręczyć </w:t>
      </w:r>
      <w:r w:rsidRPr="00431FB3">
        <w:rPr>
          <w:rFonts w:ascii="Arial" w:hAnsi="Arial" w:cs="Arial"/>
          <w:b/>
          <w:sz w:val="20"/>
          <w:szCs w:val="20"/>
        </w:rPr>
        <w:t>do dnia 06/06/2022 roku do godziny 12:00</w:t>
      </w:r>
      <w:r w:rsidRPr="00431FB3">
        <w:rPr>
          <w:rFonts w:ascii="Arial" w:hAnsi="Arial" w:cs="Arial"/>
          <w:sz w:val="20"/>
          <w:szCs w:val="20"/>
        </w:rPr>
        <w:t>, na adres e-mail:</w:t>
      </w:r>
    </w:p>
    <w:p w14:paraId="5D889A50" w14:textId="77777777" w:rsidR="00E1529E" w:rsidRPr="00431FB3" w:rsidRDefault="00E1529E" w:rsidP="00E1529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431FB3">
        <w:rPr>
          <w:rFonts w:ascii="Arial" w:hAnsi="Arial" w:cs="Arial"/>
          <w:sz w:val="20"/>
          <w:szCs w:val="20"/>
          <w:u w:val="single"/>
        </w:rPr>
        <w:t>drw.sprzedaz@bosbank.pl; roman.klentak@bosbank.pl oraz sylwia.litke@bosbank.pl</w:t>
      </w:r>
    </w:p>
    <w:p w14:paraId="5C94E2D3" w14:textId="77777777" w:rsidR="00E1529E" w:rsidRPr="00431FB3" w:rsidRDefault="00E1529E" w:rsidP="00E1529E">
      <w:pPr>
        <w:pStyle w:val="Akapitzlist"/>
        <w:tabs>
          <w:tab w:val="left" w:pos="-1440"/>
          <w:tab w:val="right" w:pos="-136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1FB3">
        <w:rPr>
          <w:rFonts w:ascii="Arial" w:hAnsi="Arial" w:cs="Arial"/>
          <w:sz w:val="20"/>
          <w:szCs w:val="20"/>
        </w:rPr>
        <w:t xml:space="preserve">przy czym o zachowaniu terminu i godziny decyduje rzeczywisty wpływu maila od Oferenta na wskazaną powyżej skrzynkę mailową. W tytule maila należy wpisać </w:t>
      </w:r>
      <w:r w:rsidRPr="00431FB3">
        <w:rPr>
          <w:rFonts w:ascii="Arial" w:hAnsi="Arial" w:cs="Arial"/>
          <w:i/>
          <w:sz w:val="20"/>
          <w:szCs w:val="20"/>
          <w:u w:val="single"/>
        </w:rPr>
        <w:t>„sprzedaż wierzytelności</w:t>
      </w:r>
      <w:r>
        <w:rPr>
          <w:rFonts w:ascii="Arial" w:hAnsi="Arial" w:cs="Arial"/>
          <w:i/>
          <w:sz w:val="20"/>
          <w:szCs w:val="20"/>
          <w:u w:val="single"/>
        </w:rPr>
        <w:t xml:space="preserve"> 2022</w:t>
      </w:r>
      <w:r w:rsidRPr="00431FB3">
        <w:rPr>
          <w:rFonts w:ascii="Arial" w:hAnsi="Arial" w:cs="Arial"/>
          <w:i/>
          <w:sz w:val="20"/>
          <w:szCs w:val="20"/>
          <w:u w:val="single"/>
        </w:rPr>
        <w:t>”</w:t>
      </w:r>
      <w:r w:rsidRPr="00431FB3">
        <w:rPr>
          <w:rFonts w:ascii="Arial" w:hAnsi="Arial" w:cs="Arial"/>
          <w:i/>
          <w:sz w:val="20"/>
          <w:szCs w:val="20"/>
        </w:rPr>
        <w:t>.</w:t>
      </w:r>
      <w:r w:rsidRPr="00431FB3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6CEAAD8" w14:textId="77777777" w:rsidR="00E1529E" w:rsidRDefault="00E1529E" w:rsidP="00E1529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7CF36A" w14:textId="77777777" w:rsidR="00E1529E" w:rsidRDefault="00E1529E" w:rsidP="00E1529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930645" w14:textId="77777777" w:rsidR="00E1529E" w:rsidRPr="00FC5860" w:rsidRDefault="00E1529E" w:rsidP="00E1529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2047">
        <w:rPr>
          <w:rFonts w:ascii="Arial" w:hAnsi="Arial" w:cs="Arial"/>
          <w:sz w:val="20"/>
          <w:szCs w:val="20"/>
        </w:rPr>
        <w:lastRenderedPageBreak/>
        <w:t xml:space="preserve">W przypadku doręczenia do Banku we wskazanym powyżej terminie pisma wyrażającego zainteresowanie udziałem w postępowaniu przetargowym wraz z dokumentacją o której mowa w pkt. </w:t>
      </w:r>
      <w:r w:rsidRPr="00FC5860">
        <w:rPr>
          <w:rFonts w:ascii="Arial" w:hAnsi="Arial" w:cs="Arial"/>
          <w:sz w:val="20"/>
          <w:szCs w:val="20"/>
        </w:rPr>
        <w:t xml:space="preserve">II, </w:t>
      </w:r>
      <w:r w:rsidRPr="00FC5860">
        <w:rPr>
          <w:rFonts w:ascii="Arial" w:hAnsi="Arial" w:cs="Arial"/>
          <w:sz w:val="20"/>
          <w:szCs w:val="20"/>
          <w:u w:val="single"/>
        </w:rPr>
        <w:t>Bank prześle wyłącznie wybranym Oferentom</w:t>
      </w:r>
      <w:r w:rsidRPr="00FC5860">
        <w:rPr>
          <w:rFonts w:ascii="Arial" w:hAnsi="Arial" w:cs="Arial"/>
          <w:sz w:val="20"/>
          <w:szCs w:val="20"/>
        </w:rPr>
        <w:t xml:space="preserve">: </w:t>
      </w:r>
    </w:p>
    <w:p w14:paraId="406459F6" w14:textId="77777777" w:rsidR="00E1529E" w:rsidRPr="00FB28A4" w:rsidRDefault="00E1529E" w:rsidP="00E1529E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Regulamin Prowadzenia Przetargu wraz z załącznikami,</w:t>
      </w:r>
    </w:p>
    <w:p w14:paraId="64DC047D" w14:textId="77777777" w:rsidR="00E1529E" w:rsidRPr="00FC5860" w:rsidRDefault="00E1529E" w:rsidP="00E1529E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listę sprzedawanych wierzytelności.</w:t>
      </w:r>
    </w:p>
    <w:p w14:paraId="67A50C3F" w14:textId="77777777" w:rsidR="00E1529E" w:rsidRPr="00FB28A4" w:rsidRDefault="00E1529E" w:rsidP="00E1529E">
      <w:pPr>
        <w:pStyle w:val="Tekstpodstawowy"/>
        <w:rPr>
          <w:rFonts w:cs="Arial"/>
          <w:lang w:val="pl-PL"/>
        </w:rPr>
      </w:pPr>
    </w:p>
    <w:p w14:paraId="41D3A8C0" w14:textId="77777777" w:rsidR="00E1529E" w:rsidRPr="00FB28A4" w:rsidRDefault="00E1529E" w:rsidP="00E1529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>SZCZEGÓLNE WARUNKI POSTĘPOWANIA I SPRZEDAŻY</w:t>
      </w:r>
    </w:p>
    <w:p w14:paraId="6FFD9BBF" w14:textId="77777777" w:rsidR="00E1529E" w:rsidRPr="00FB28A4" w:rsidRDefault="00E1529E" w:rsidP="00E1529E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F4CF1F5" w14:textId="77777777" w:rsidR="00E1529E" w:rsidRPr="00FB28A4" w:rsidRDefault="00E1529E" w:rsidP="00E1529E">
      <w:pPr>
        <w:pStyle w:val="Tekstpodstawowy"/>
        <w:spacing w:line="360" w:lineRule="auto"/>
        <w:rPr>
          <w:rFonts w:cs="Arial"/>
          <w:lang w:val="pl-PL"/>
        </w:rPr>
      </w:pPr>
      <w:r w:rsidRPr="00FB28A4">
        <w:rPr>
          <w:rFonts w:cs="Arial"/>
          <w:lang w:val="pl-PL"/>
        </w:rPr>
        <w:t>Bank przewiduje wyłonienie nabywcy Portfela</w:t>
      </w:r>
      <w:r>
        <w:rPr>
          <w:rFonts w:cs="Arial"/>
          <w:lang w:val="pl-PL"/>
        </w:rPr>
        <w:t xml:space="preserve"> </w:t>
      </w:r>
      <w:r w:rsidRPr="00FB28A4">
        <w:rPr>
          <w:rFonts w:cs="Arial"/>
          <w:lang w:val="pl-PL"/>
        </w:rPr>
        <w:t xml:space="preserve">wierzytelności </w:t>
      </w:r>
      <w:r w:rsidRPr="00FB28A4">
        <w:rPr>
          <w:rFonts w:cs="Arial"/>
          <w:b/>
          <w:lang w:val="pl-PL"/>
        </w:rPr>
        <w:t>w drodze wyboru najkorzystniejszej oferty cenowej</w:t>
      </w:r>
      <w:r w:rsidRPr="00FB28A4">
        <w:rPr>
          <w:rFonts w:cs="Arial"/>
          <w:lang w:val="pl-PL"/>
        </w:rPr>
        <w:t>. Po złożeniu wiążących ofert przez Oferentów Bank dopuszcza możliwość prowadzenia dalszych rokowań cenowych.</w:t>
      </w:r>
    </w:p>
    <w:p w14:paraId="75EB42B4" w14:textId="77777777" w:rsidR="00E1529E" w:rsidRPr="00FB28A4" w:rsidRDefault="00E1529E" w:rsidP="00E1529E">
      <w:pPr>
        <w:pStyle w:val="Tekstpodstawowy"/>
        <w:spacing w:line="360" w:lineRule="auto"/>
        <w:rPr>
          <w:rFonts w:cs="Arial"/>
          <w:lang w:val="pl-PL"/>
        </w:rPr>
      </w:pPr>
      <w:r w:rsidRPr="00FB28A4">
        <w:rPr>
          <w:rFonts w:cs="Arial"/>
          <w:lang w:val="pl-PL"/>
        </w:rPr>
        <w:t>Bank zastrzega jednocześnie, że ostateczna decyzja w sprawie wyrażenia zgody na zawarcie umowy sprzedaży Portfela wierzytelności należy do Zarządu Banku.</w:t>
      </w:r>
    </w:p>
    <w:p w14:paraId="5D6AF996" w14:textId="77777777" w:rsidR="00E1529E" w:rsidRPr="00FB28A4" w:rsidRDefault="00E1529E" w:rsidP="00E1529E">
      <w:pPr>
        <w:pStyle w:val="Tekstpodstawowy"/>
        <w:rPr>
          <w:rFonts w:cs="Arial"/>
          <w:lang w:val="pl-PL"/>
        </w:rPr>
      </w:pPr>
    </w:p>
    <w:p w14:paraId="6BF5D59E" w14:textId="77777777" w:rsidR="00E1529E" w:rsidRPr="00FC5860" w:rsidRDefault="00E1529E" w:rsidP="00E1529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5860">
        <w:rPr>
          <w:rFonts w:ascii="Arial" w:hAnsi="Arial" w:cs="Arial"/>
          <w:b/>
          <w:sz w:val="20"/>
          <w:szCs w:val="20"/>
        </w:rPr>
        <w:t>KONTAKT</w:t>
      </w:r>
    </w:p>
    <w:p w14:paraId="5110FE57" w14:textId="77777777" w:rsidR="00E1529E" w:rsidRPr="00FB28A4" w:rsidRDefault="00E1529E" w:rsidP="00E1529E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13FA37D5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sz w:val="20"/>
          <w:szCs w:val="20"/>
        </w:rPr>
        <w:t>Informujemy, iż wszelka korespondencja w sprawie postępowania przetargowego kierowana do Banku, winna być przygotowana w języku polskim i zawierać adres korespondencyjny na terenie Polski.</w:t>
      </w:r>
    </w:p>
    <w:p w14:paraId="013CB342" w14:textId="77777777" w:rsidR="00E1529E" w:rsidRPr="00FB28A4" w:rsidRDefault="00E1529E" w:rsidP="00E1529E">
      <w:pPr>
        <w:jc w:val="both"/>
        <w:rPr>
          <w:rFonts w:ascii="Arial" w:hAnsi="Arial" w:cs="Arial"/>
          <w:sz w:val="20"/>
          <w:szCs w:val="20"/>
        </w:rPr>
      </w:pPr>
    </w:p>
    <w:p w14:paraId="10B5AC64" w14:textId="77777777" w:rsidR="00E1529E" w:rsidRPr="00FB28A4" w:rsidRDefault="00E1529E" w:rsidP="00E1529E">
      <w:pPr>
        <w:pStyle w:val="Tekstpodstawowy"/>
        <w:spacing w:line="360" w:lineRule="auto"/>
        <w:rPr>
          <w:rFonts w:cs="Arial"/>
        </w:rPr>
      </w:pPr>
      <w:r w:rsidRPr="00FB28A4">
        <w:rPr>
          <w:rFonts w:cs="Arial"/>
          <w:u w:val="single"/>
        </w:rPr>
        <w:t>W przypadku pytań prosimy o kontakt telefoniczny z następującymi osobami</w:t>
      </w:r>
      <w:r w:rsidRPr="00FB28A4">
        <w:rPr>
          <w:rFonts w:cs="Arial"/>
        </w:rPr>
        <w:t xml:space="preserve">: </w:t>
      </w:r>
    </w:p>
    <w:p w14:paraId="24A341C3" w14:textId="77777777" w:rsidR="00E1529E" w:rsidRDefault="00E1529E" w:rsidP="00E1529E">
      <w:pPr>
        <w:pStyle w:val="Tekstpodstawowy"/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Roman Klentak </w:t>
      </w:r>
      <w:r w:rsidRPr="00FB28A4">
        <w:rPr>
          <w:rFonts w:cs="Arial"/>
        </w:rPr>
        <w:t xml:space="preserve">tel.: </w:t>
      </w:r>
      <w:r>
        <w:rPr>
          <w:rFonts w:cs="Arial"/>
        </w:rPr>
        <w:t>515 111 694</w:t>
      </w:r>
    </w:p>
    <w:p w14:paraId="261E951E" w14:textId="77777777" w:rsidR="00E1529E" w:rsidRDefault="00E1529E" w:rsidP="00E1529E">
      <w:pPr>
        <w:pStyle w:val="Tekstpodstawowy"/>
        <w:spacing w:line="360" w:lineRule="auto"/>
        <w:ind w:left="720"/>
        <w:rPr>
          <w:rFonts w:cs="Arial"/>
        </w:rPr>
      </w:pPr>
      <w:r w:rsidRPr="00FB28A4">
        <w:rPr>
          <w:rFonts w:cs="Arial"/>
        </w:rPr>
        <w:t>Bogusław Szpunar tel.: 515 111</w:t>
      </w:r>
      <w:r>
        <w:rPr>
          <w:rFonts w:cs="Arial"/>
        </w:rPr>
        <w:t> </w:t>
      </w:r>
      <w:r w:rsidRPr="00FB28A4">
        <w:rPr>
          <w:rFonts w:cs="Arial"/>
        </w:rPr>
        <w:t>846</w:t>
      </w:r>
    </w:p>
    <w:p w14:paraId="7E4B75BA" w14:textId="77777777" w:rsidR="00E1529E" w:rsidRPr="00FB28A4" w:rsidRDefault="00E1529E" w:rsidP="00E1529E">
      <w:pPr>
        <w:pStyle w:val="Tekstpodstawowy"/>
        <w:spacing w:line="360" w:lineRule="auto"/>
        <w:ind w:left="720"/>
        <w:rPr>
          <w:rFonts w:cs="Arial"/>
        </w:rPr>
      </w:pPr>
      <w:r w:rsidRPr="00FB28A4">
        <w:rPr>
          <w:rFonts w:cs="Arial"/>
        </w:rPr>
        <w:t>Piotr Wawrzonkiewicz tel.: 515 011</w:t>
      </w:r>
      <w:r>
        <w:rPr>
          <w:rFonts w:cs="Arial"/>
        </w:rPr>
        <w:t> </w:t>
      </w:r>
      <w:r w:rsidRPr="00FB28A4">
        <w:rPr>
          <w:rFonts w:cs="Arial"/>
        </w:rPr>
        <w:t>800</w:t>
      </w:r>
    </w:p>
    <w:p w14:paraId="2FF05041" w14:textId="77777777" w:rsidR="00E1529E" w:rsidRPr="00FB28A4" w:rsidRDefault="00E1529E" w:rsidP="00E1529E">
      <w:pPr>
        <w:pStyle w:val="Tekstpodstawowy"/>
        <w:spacing w:line="360" w:lineRule="auto"/>
        <w:rPr>
          <w:rFonts w:cs="Arial"/>
          <w:lang w:val="pl-PL"/>
        </w:rPr>
      </w:pPr>
      <w:r w:rsidRPr="00FB28A4">
        <w:rPr>
          <w:rFonts w:cs="Arial"/>
          <w:lang w:val="pl-PL"/>
        </w:rPr>
        <w:t xml:space="preserve">Wszelką korespondencję należy kierować na adres: </w:t>
      </w:r>
    </w:p>
    <w:p w14:paraId="31438A3B" w14:textId="77777777" w:rsidR="00E1529E" w:rsidRPr="00FB28A4" w:rsidRDefault="00E1529E" w:rsidP="00E1529E">
      <w:pPr>
        <w:pStyle w:val="Tekstpodstawowy"/>
        <w:spacing w:line="360" w:lineRule="auto"/>
        <w:rPr>
          <w:rFonts w:cs="Arial"/>
          <w:b/>
          <w:lang w:val="pl-PL"/>
        </w:rPr>
      </w:pPr>
      <w:r w:rsidRPr="00FB28A4">
        <w:rPr>
          <w:rFonts w:cs="Arial"/>
          <w:b/>
          <w:lang w:val="pl-PL"/>
        </w:rPr>
        <w:t>Bank Ochrony Środowiska S.A. w Warszawie</w:t>
      </w:r>
    </w:p>
    <w:p w14:paraId="071AD141" w14:textId="77777777" w:rsidR="00E1529E" w:rsidRDefault="00E1529E" w:rsidP="00E1529E">
      <w:pPr>
        <w:pStyle w:val="Tekstpodstawowy"/>
        <w:spacing w:line="360" w:lineRule="auto"/>
        <w:rPr>
          <w:rFonts w:cs="Arial"/>
          <w:b/>
        </w:rPr>
      </w:pPr>
      <w:r w:rsidRPr="00FB28A4">
        <w:rPr>
          <w:rFonts w:cs="Arial"/>
          <w:b/>
        </w:rPr>
        <w:t xml:space="preserve">Departament Restrukturyzacji i Windykacji </w:t>
      </w:r>
    </w:p>
    <w:p w14:paraId="2ADA5998" w14:textId="77777777" w:rsidR="00E1529E" w:rsidRPr="00FB28A4" w:rsidRDefault="00E1529E" w:rsidP="00E1529E">
      <w:pPr>
        <w:pStyle w:val="Tekstpodstawowy"/>
        <w:spacing w:line="360" w:lineRule="auto"/>
        <w:rPr>
          <w:rFonts w:cs="Arial"/>
          <w:lang w:val="pl-PL"/>
        </w:rPr>
      </w:pPr>
      <w:r w:rsidRPr="00FB28A4">
        <w:rPr>
          <w:rFonts w:cs="Arial"/>
          <w:lang w:val="pl-PL"/>
        </w:rPr>
        <w:t>ul. Żelazna 32</w:t>
      </w:r>
      <w:r>
        <w:rPr>
          <w:rFonts w:cs="Arial"/>
          <w:lang w:val="pl-PL"/>
        </w:rPr>
        <w:t xml:space="preserve">; </w:t>
      </w:r>
      <w:r w:rsidRPr="00FB28A4">
        <w:rPr>
          <w:rFonts w:cs="Arial"/>
          <w:lang w:val="pl-PL"/>
        </w:rPr>
        <w:t xml:space="preserve">00-832 Warszawa </w:t>
      </w:r>
    </w:p>
    <w:p w14:paraId="15ABF1CA" w14:textId="77777777" w:rsidR="00E1529E" w:rsidRPr="00FB28A4" w:rsidRDefault="00E1529E" w:rsidP="00E1529E">
      <w:pPr>
        <w:pStyle w:val="Tekstpodstawowy"/>
        <w:rPr>
          <w:rFonts w:cs="Arial"/>
          <w:lang w:val="pl-PL"/>
        </w:rPr>
      </w:pPr>
      <w:r w:rsidRPr="00FB28A4">
        <w:rPr>
          <w:rFonts w:cs="Arial"/>
          <w:lang w:val="pl-PL"/>
        </w:rPr>
        <w:t>z dopiskiem „</w:t>
      </w:r>
      <w:r w:rsidRPr="00FB28A4">
        <w:rPr>
          <w:rFonts w:cs="Arial"/>
          <w:i/>
          <w:lang w:val="pl-PL"/>
        </w:rPr>
        <w:t>sprzedaż wierzytelności</w:t>
      </w:r>
      <w:r w:rsidRPr="00FB28A4">
        <w:rPr>
          <w:rFonts w:cs="Arial"/>
          <w:lang w:val="pl-PL"/>
        </w:rPr>
        <w:t xml:space="preserve">”, na ręce: Piotr Wawrzonkiewicz, </w:t>
      </w:r>
      <w:r>
        <w:rPr>
          <w:rFonts w:cs="Arial"/>
          <w:lang w:val="pl-PL"/>
        </w:rPr>
        <w:t>Roman Klentak.</w:t>
      </w:r>
    </w:p>
    <w:p w14:paraId="0067967F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53DE3" w14:textId="77777777" w:rsidR="00E1529E" w:rsidRPr="00FB28A4" w:rsidRDefault="00E1529E" w:rsidP="00E1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8A4">
        <w:rPr>
          <w:rFonts w:ascii="Arial" w:hAnsi="Arial" w:cs="Arial"/>
          <w:b/>
          <w:sz w:val="20"/>
          <w:szCs w:val="20"/>
        </w:rPr>
        <w:t>Bank zastrzega sobie prawo swobodnego wyboru zainteresowanych Oferentów,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28A4">
        <w:rPr>
          <w:rFonts w:ascii="Arial" w:hAnsi="Arial" w:cs="Arial"/>
          <w:b/>
          <w:sz w:val="20"/>
          <w:szCs w:val="20"/>
        </w:rPr>
        <w:t>do których zostaną skierowane zaproszenia do składania ofert oraz prawo do odstąpienia od sprzedaży Portfela wierzytelności lub poszczególnych wierzytelności bez podania przyczyn, na każdym etapie postępowania przetargowego</w:t>
      </w:r>
      <w:r w:rsidRPr="00FB28A4">
        <w:rPr>
          <w:rFonts w:ascii="Arial" w:hAnsi="Arial" w:cs="Arial"/>
          <w:sz w:val="20"/>
          <w:szCs w:val="20"/>
        </w:rPr>
        <w:t>.</w:t>
      </w:r>
    </w:p>
    <w:p w14:paraId="32D2FD9A" w14:textId="77777777" w:rsidR="006B1001" w:rsidRDefault="006B1001"/>
    <w:sectPr w:rsidR="006B1001" w:rsidSect="00D8697A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4AF" w14:textId="77777777" w:rsidR="003743C0" w:rsidRDefault="003743C0" w:rsidP="00E1529E">
      <w:r>
        <w:separator/>
      </w:r>
    </w:p>
  </w:endnote>
  <w:endnote w:type="continuationSeparator" w:id="0">
    <w:p w14:paraId="30036EA5" w14:textId="77777777" w:rsidR="003743C0" w:rsidRDefault="003743C0" w:rsidP="00E1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8E9" w14:textId="77777777" w:rsidR="00FC4992" w:rsidRPr="00E920CD" w:rsidRDefault="00E1529E" w:rsidP="00E920CD">
    <w:pPr>
      <w:pStyle w:val="Stopka"/>
      <w:tabs>
        <w:tab w:val="clear" w:pos="4536"/>
        <w:tab w:val="clear" w:pos="9072"/>
        <w:tab w:val="right" w:pos="8504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BD30B3B" wp14:editId="207D55E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f3a4e3392eac7bc3a08bb0f" descr="{&quot;HashCode&quot;:10045489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23E656" w14:textId="7361D516" w:rsidR="00F0711C" w:rsidRPr="00E1529E" w:rsidRDefault="003743C0" w:rsidP="00E1529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30B3B" id="_x0000_t202" coordsize="21600,21600" o:spt="202" path="m,l,21600r21600,l21600,xe">
              <v:stroke joinstyle="miter"/>
              <v:path gradientshapeok="t" o:connecttype="rect"/>
            </v:shapetype>
            <v:shape id="MSIPCMef3a4e3392eac7bc3a08bb0f" o:spid="_x0000_s1026" type="#_x0000_t202" alt="{&quot;HashCode&quot;:10045489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6123E656" w14:textId="7361D516" w:rsidR="00F0711C" w:rsidRPr="00E1529E" w:rsidRDefault="003743C0" w:rsidP="00E1529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D4D" w14:textId="77777777" w:rsidR="00FC4992" w:rsidRDefault="00E1529E">
    <w:pPr>
      <w:pStyle w:val="Stopka"/>
    </w:pPr>
    <w:r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15D2AC6" wp14:editId="105491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dd4432da90272484dc3c17a" descr="{&quot;HashCode&quot;:10045489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6883B" w14:textId="0B389958" w:rsidR="00F0711C" w:rsidRPr="00E1529E" w:rsidRDefault="003743C0" w:rsidP="00E1529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D2AC6" id="_x0000_t202" coordsize="21600,21600" o:spt="202" path="m,l,21600r21600,l21600,xe">
              <v:stroke joinstyle="miter"/>
              <v:path gradientshapeok="t" o:connecttype="rect"/>
            </v:shapetype>
            <v:shape id="MSIPCM3dd4432da90272484dc3c17a" o:spid="_x0000_s1028" type="#_x0000_t202" alt="{&quot;HashCode&quot;:10045489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0EF6883B" w14:textId="0B389958" w:rsidR="00F0711C" w:rsidRPr="00E1529E" w:rsidRDefault="003743C0" w:rsidP="00E1529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41B8B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AAE06D" wp14:editId="0B70A206">
              <wp:simplePos x="0" y="0"/>
              <wp:positionH relativeFrom="column">
                <wp:posOffset>-88900</wp:posOffset>
              </wp:positionH>
              <wp:positionV relativeFrom="paragraph">
                <wp:posOffset>-187960</wp:posOffset>
              </wp:positionV>
              <wp:extent cx="3536315" cy="103124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1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C4C04B" w14:textId="77777777" w:rsidR="00FC4992" w:rsidRPr="00AE0418" w:rsidRDefault="003743C0" w:rsidP="00141B8B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5411E6AB" w14:textId="77777777" w:rsidR="00FC4992" w:rsidRPr="00AE0418" w:rsidRDefault="00E1529E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infolinia 0 801 355 455  |  </w:t>
                          </w:r>
                          <w:hyperlink r:id="rId1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www.bosbank.pl</w:t>
                            </w:r>
                          </w:hyperlink>
                        </w:p>
                        <w:p w14:paraId="4DCB1DC4" w14:textId="77777777" w:rsidR="00FC4992" w:rsidRPr="00AE0418" w:rsidRDefault="003743C0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0441B469" w14:textId="77777777" w:rsidR="00FC4992" w:rsidRPr="00AE0418" w:rsidRDefault="00E1529E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Sąd Rejonowy dla</w:t>
                          </w:r>
                          <w:r w:rsidRPr="00AE0418">
                            <w:rPr>
                              <w:rStyle w:val="apple-converted-space"/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hyperlink r:id="rId2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m.st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 Warszawy XII Wydział G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ospodarczy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Krajowego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Rejestru Sądowego I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KRS 0000015525 |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NIP 527 020 33 13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Kapitał zakładowy: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72151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929 476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r w:rsidRPr="00672151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710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zł wpłacony w całości.</w:t>
                          </w:r>
                        </w:p>
                        <w:p w14:paraId="67B2C934" w14:textId="77777777" w:rsidR="00FC4992" w:rsidRPr="00AE0418" w:rsidRDefault="003743C0" w:rsidP="00141B8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AE06D" id="Pole tekstowe 24" o:spid="_x0000_s1029" type="#_x0000_t202" style="position:absolute;margin-left:-7pt;margin-top:-14.8pt;width:278.45pt;height:8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m2IwIAAEIEAAAOAAAAZHJzL2Uyb0RvYy54bWysU0tv2zAMvg/YfxB0X2zHSdYZcYqsRYYB&#10;QVsgHXpWZCk2IIuapMTOfv0oOS90Ow27SKRI8fF95Py+bxU5COsa0CXNRiklQnOoGr0r6Y/X1ac7&#10;SpxnumIKtCjpUTh6v/j4Yd6ZQoyhBlUJSzCIdkVnSlp7b4okcbwWLXMjMEKjUYJtmUfV7pLKsg6j&#10;tyoZp+ks6cBWxgIXzuHr42CkixhfSsH9s5ROeKJKirX5eNp4bsOZLOas2Flm6oafymD/UEXLGo1J&#10;L6EemWdkb5s/QrUNt+BA+hGHNgEpGy5iD9hNlr7rZlMzI2IvCI4zF5jc/wvLnw4b82KJ779CjwQG&#10;QDrjCoePoZ9e2jbcWClBO0J4vMAmek84PubTfJZnU0o42rI0z8aTCGxy/W6s898EtCQIJbXIS4SL&#10;HdbOY0p0PbuEbBpWjVKRG6VJV9JZPk3jh4sFfygdfEVk+RTmWnqQfL/tSVNhhee2tlAdsVsLwyA4&#10;w1cNVrRmzr8wi8xjgzjN/hkPqQAzw0mipAb762/vwR8JQSslHU5SSd3PPbOCEvVdI1VfsgniQXxU&#10;JtPPY1TsrWV7a9H79gFwWDPcG8OjGPy9OovSQvuGQ78MWdHENMfcJfVn8cEP841Lw8VyGZ1w2Azz&#10;a70xPIQOuAW8X/s3Zs2JFI98PsF55ljxjpvBd2Bnufcgm0hcwHlAFVkMCg5q5PO0VGETbvXodV39&#10;xW8AAAD//wMAUEsDBBQABgAIAAAAIQALiLiF4wAAAAsBAAAPAAAAZHJzL2Rvd25yZXYueG1sTI/B&#10;bsIwDIbvk/YOkSftBikZoFKaIlQJTZq2A4zLbmkT2orE6ZoA3Z5+3mm72fKn39+fb0Zn2dUMofMo&#10;YTZNgBmsve6wkXB8301SYCEq1Mp6NBK+TIBNcX+Xq0z7G+7N9RAbRiEYMiWhjbHPOA91a5wKU98b&#10;pNvJD05FWoeG60HdKNxZLpJkyZ3qkD60qjdla+rz4eIkvJS7N7WvhEu/bfn8etr2n8ePhZSPD+N2&#10;DSyaMf7B8KtP6lCQU+UvqAOzEiazOXWJNIjVEhgRi7lYAasIfRIp8CLn/zsUPwAAAP//AwBQSwEC&#10;LQAUAAYACAAAACEAtoM4kv4AAADhAQAAEwAAAAAAAAAAAAAAAAAAAAAAW0NvbnRlbnRfVHlwZXNd&#10;LnhtbFBLAQItABQABgAIAAAAIQA4/SH/1gAAAJQBAAALAAAAAAAAAAAAAAAAAC8BAABfcmVscy8u&#10;cmVsc1BLAQItABQABgAIAAAAIQD4fDm2IwIAAEIEAAAOAAAAAAAAAAAAAAAAAC4CAABkcnMvZTJv&#10;RG9jLnhtbFBLAQItABQABgAIAAAAIQALiLiF4wAAAAsBAAAPAAAAAAAAAAAAAAAAAH0EAABkcnMv&#10;ZG93bnJldi54bWxQSwUGAAAAAAQABADzAAAAjQUAAAAA&#10;" filled="f" stroked="f" strokeweight=".5pt">
              <v:textbox>
                <w:txbxContent>
                  <w:p w14:paraId="61C4C04B" w14:textId="77777777" w:rsidR="00FC4992" w:rsidRPr="00AE0418" w:rsidRDefault="003743C0" w:rsidP="00141B8B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5411E6AB" w14:textId="77777777" w:rsidR="00FC4992" w:rsidRPr="00AE0418" w:rsidRDefault="00E1529E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infolinia 0 801 355 455  |  </w:t>
                    </w:r>
                    <w:hyperlink r:id="rId3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sz w:val="16"/>
                          <w:szCs w:val="16"/>
                        </w:rPr>
                        <w:t>www.bosbank.pl</w:t>
                      </w:r>
                    </w:hyperlink>
                  </w:p>
                  <w:p w14:paraId="4DCB1DC4" w14:textId="77777777" w:rsidR="00FC4992" w:rsidRPr="00AE0418" w:rsidRDefault="003743C0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0441B469" w14:textId="77777777" w:rsidR="00FC4992" w:rsidRPr="00AE0418" w:rsidRDefault="00E1529E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Sąd Rejonowy dla</w:t>
                    </w:r>
                    <w:r w:rsidRPr="00AE0418">
                      <w:rPr>
                        <w:rStyle w:val="apple-converted-space"/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hyperlink r:id="rId4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sz w:val="16"/>
                          <w:szCs w:val="16"/>
                        </w:rPr>
                        <w:t>m.st</w:t>
                      </w:r>
                    </w:hyperlink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 Warszawy XII Wydział G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ospodarczy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Krajowego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Rejestru Sądowego I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KRS 0000015525 |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NIP 527 020 33 13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Kapitał zakładowy: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Pr="00672151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929 476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r w:rsidRPr="00672151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710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zł wpłacony w całości.</w:t>
                    </w:r>
                  </w:p>
                  <w:p w14:paraId="67B2C934" w14:textId="77777777" w:rsidR="00FC4992" w:rsidRPr="00AE0418" w:rsidRDefault="003743C0" w:rsidP="00141B8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63360" behindDoc="1" locked="0" layoutInCell="1" allowOverlap="1" wp14:anchorId="7B046D49" wp14:editId="73E170B1">
          <wp:simplePos x="0" y="0"/>
          <wp:positionH relativeFrom="margin">
            <wp:posOffset>4747260</wp:posOffset>
          </wp:positionH>
          <wp:positionV relativeFrom="margin">
            <wp:posOffset>8653780</wp:posOffset>
          </wp:positionV>
          <wp:extent cx="1268730" cy="11366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ś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B8B">
      <w:rPr>
        <w:noProof/>
      </w:rPr>
      <w:drawing>
        <wp:anchor distT="0" distB="0" distL="114300" distR="114300" simplePos="0" relativeHeight="251659264" behindDoc="1" locked="0" layoutInCell="1" allowOverlap="1" wp14:anchorId="2AAD3B26" wp14:editId="52C2FC97">
          <wp:simplePos x="0" y="0"/>
          <wp:positionH relativeFrom="margin">
            <wp:posOffset>6350</wp:posOffset>
          </wp:positionH>
          <wp:positionV relativeFrom="margin">
            <wp:posOffset>8045450</wp:posOffset>
          </wp:positionV>
          <wp:extent cx="7375525" cy="1757045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459" r="-12340"/>
                  <a:stretch/>
                </pic:blipFill>
                <pic:spPr>
                  <a:xfrm>
                    <a:off x="0" y="0"/>
                    <a:ext cx="7375525" cy="17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6B624" w14:textId="77777777" w:rsidR="00FC4992" w:rsidRDefault="00374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E27D" w14:textId="77777777" w:rsidR="003743C0" w:rsidRDefault="003743C0" w:rsidP="00E1529E">
      <w:r>
        <w:separator/>
      </w:r>
    </w:p>
  </w:footnote>
  <w:footnote w:type="continuationSeparator" w:id="0">
    <w:p w14:paraId="6E11FDFD" w14:textId="77777777" w:rsidR="003743C0" w:rsidRDefault="003743C0" w:rsidP="00E1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1C37" w14:textId="77777777" w:rsidR="00FC4992" w:rsidRDefault="00E1529E">
    <w:pPr>
      <w:pStyle w:val="Nagwek"/>
    </w:pPr>
    <w:r w:rsidRPr="00141B8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0E5F3C" wp14:editId="6D6837F1">
              <wp:simplePos x="0" y="0"/>
              <wp:positionH relativeFrom="column">
                <wp:posOffset>3119755</wp:posOffset>
              </wp:positionH>
              <wp:positionV relativeFrom="paragraph">
                <wp:posOffset>-140706</wp:posOffset>
              </wp:positionV>
              <wp:extent cx="2700020" cy="74993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2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6C665" w14:textId="77777777" w:rsidR="00FC4992" w:rsidRPr="00EC20D2" w:rsidRDefault="00E1529E" w:rsidP="009478C3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C20D2">
                            <w:rPr>
                              <w:rFonts w:asciiTheme="minorHAnsi" w:hAnsiTheme="minorHAnsi" w:cs="Arial"/>
                              <w:b/>
                              <w:color w:val="00B050"/>
                              <w:sz w:val="16"/>
                              <w:szCs w:val="16"/>
                            </w:rPr>
                            <w:t>BANK OCHRONY ŚRODOWISKA S.A.</w:t>
                          </w:r>
                        </w:p>
                        <w:p w14:paraId="1885E1EB" w14:textId="77777777" w:rsidR="00FC4992" w:rsidRPr="002B0E38" w:rsidRDefault="003743C0" w:rsidP="009478C3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E5F3C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245.65pt;margin-top:-11.1pt;width:212.6pt;height:5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ZHwIAAEEEAAAOAAAAZHJzL2Uyb0RvYy54bWysU8tu2zAQvBfoPxC815IdO4kFy4GbwEUB&#10;IwngFDnTFGkRoLgsSVtyv75Lyi+kPRW9UEvuah8zs7OHrtFkL5xXYEo6HOSUCMOhUmZb0h9vyy/3&#10;lPjATMU0GFHSg/D0Yf7506y1hRhBDboSjmAS44vWlrQOwRZZ5nktGuYHYIVBpwTXsIBXt80qx1rM&#10;3uhslOe3WQuusg648B5fn3onnaf8UgoeXqT0IhBdUuwtpNOlcxPPbD5jxdYxWyt+bIP9QxcNUwaL&#10;nlM9scDIzqk/UjWKO/Agw4BDk4GUios0A04zzD9Ms66ZFWkWBMfbM0z+/6Xlz/u1fXUkdF+hQwIj&#10;IK31hcfHOE8nXRO/2ClBP0J4OMMmukA4Po7u8jwfoYuj7248nd5MYprs8rd1PnwT0JBolNQhLQkt&#10;tl/50IeeQmIxA0uldaJGG9KW9PZmkqcfzh5Mrk2MFYnkY5pL59EK3aYjqrqaagPVAYd10OvAW75U&#10;2NGK+fDKHBKPQ6CYwwseUgNWhqNFSQ3u19/eYzzygV5KWhRSSf3PHXOCEv3dIFPT4XgclZcu48ld&#10;BMpdezbXHrNrHgG1OsS1sTyZMT7okykdNO+o+UWsii5mONYuaTiZj6GXN+4MF4tFCkKtWRZWZm15&#10;TB1xi3i/de/M2SMpAel8hpPkWPGBmz62Z2exCyBVIi7i3KOKhMcL6jRRf9ypuAjX9xR12fz5bwAA&#10;AP//AwBQSwMEFAAGAAgAAAAhAH66qTDjAAAACgEAAA8AAABkcnMvZG93bnJldi54bWxMj8FOwzAM&#10;hu9IvEPkSdy2tIFOa2k6TZUmJASHjV24uU3WVmuc0mRb4ekJp3Gz5U+/vz9fT6ZnFz26zpKEeBEB&#10;01Rb1VEj4fCxna+AOY+ksLekJXxrB+vi/i7HTNkr7fRl7xsWQshlKKH1fsg4d3WrDbqFHTSF29GO&#10;Bn1Yx4arEa8h3PRcRNGSG+wofGhx0GWr69P+bCS8ltt33FXCrH768uXtuBm+Dp+JlA+zafMMzOvJ&#10;32D40w/qUASnyp5JOdZLeErjx4BKmAshgAUijZcJsCoMSQq8yPn/CsUvAAAA//8DAFBLAQItABQA&#10;BgAIAAAAIQC2gziS/gAAAOEBAAATAAAAAAAAAAAAAAAAAAAAAABbQ29udGVudF9UeXBlc10ueG1s&#10;UEsBAi0AFAAGAAgAAAAhADj9If/WAAAAlAEAAAsAAAAAAAAAAAAAAAAALwEAAF9yZWxzLy5yZWxz&#10;UEsBAi0AFAAGAAgAAAAhAKSQQNkfAgAAQQQAAA4AAAAAAAAAAAAAAAAALgIAAGRycy9lMm9Eb2Mu&#10;eG1sUEsBAi0AFAAGAAgAAAAhAH66qTDjAAAACgEAAA8AAAAAAAAAAAAAAAAAeQQAAGRycy9kb3du&#10;cmV2LnhtbFBLBQYAAAAABAAEAPMAAACJBQAAAAA=&#10;" filled="f" stroked="f" strokeweight=".5pt">
              <v:textbox>
                <w:txbxContent>
                  <w:p w14:paraId="26D6C665" w14:textId="77777777" w:rsidR="00FC4992" w:rsidRPr="00EC20D2" w:rsidRDefault="00E1529E" w:rsidP="009478C3">
                    <w:pPr>
                      <w:shd w:val="clear" w:color="auto" w:fill="FFFFFF"/>
                      <w:jc w:val="right"/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EC20D2">
                      <w:rPr>
                        <w:rFonts w:asciiTheme="minorHAnsi" w:hAnsiTheme="minorHAnsi" w:cs="Arial"/>
                        <w:b/>
                        <w:color w:val="00B050"/>
                        <w:sz w:val="16"/>
                        <w:szCs w:val="16"/>
                      </w:rPr>
                      <w:t>BANK OCHRONY ŚRODOWISKA S.A.</w:t>
                    </w:r>
                  </w:p>
                  <w:p w14:paraId="1885E1EB" w14:textId="77777777" w:rsidR="00FC4992" w:rsidRPr="002B0E38" w:rsidRDefault="003743C0" w:rsidP="009478C3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60288" behindDoc="1" locked="0" layoutInCell="1" allowOverlap="1" wp14:anchorId="52370CC4" wp14:editId="24F18A8E">
          <wp:simplePos x="0" y="0"/>
          <wp:positionH relativeFrom="column">
            <wp:posOffset>-1080135</wp:posOffset>
          </wp:positionH>
          <wp:positionV relativeFrom="paragraph">
            <wp:posOffset>-288925</wp:posOffset>
          </wp:positionV>
          <wp:extent cx="3092450" cy="824230"/>
          <wp:effectExtent l="0" t="0" r="0" b="0"/>
          <wp:wrapThrough wrapText="bothSides">
            <wp:wrapPolygon edited="0">
              <wp:start x="21600" y="21600"/>
              <wp:lineTo x="21600" y="4127"/>
              <wp:lineTo x="17741" y="4127"/>
              <wp:lineTo x="16677" y="5625"/>
              <wp:lineTo x="177" y="8620"/>
              <wp:lineTo x="177" y="11615"/>
              <wp:lineTo x="9758" y="13612"/>
              <wp:lineTo x="2839" y="21600"/>
              <wp:lineTo x="21600" y="2160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924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BEA"/>
    <w:multiLevelType w:val="hybridMultilevel"/>
    <w:tmpl w:val="5A9A21E2"/>
    <w:lvl w:ilvl="0" w:tplc="82AED4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7DF"/>
    <w:multiLevelType w:val="hybridMultilevel"/>
    <w:tmpl w:val="8AB48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914"/>
    <w:multiLevelType w:val="hybridMultilevel"/>
    <w:tmpl w:val="D3EE00A2"/>
    <w:lvl w:ilvl="0" w:tplc="983A78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3D062F6"/>
    <w:multiLevelType w:val="hybridMultilevel"/>
    <w:tmpl w:val="DA58FF80"/>
    <w:lvl w:ilvl="0" w:tplc="BB9CF3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6750"/>
    <w:multiLevelType w:val="hybridMultilevel"/>
    <w:tmpl w:val="72583B20"/>
    <w:lvl w:ilvl="0" w:tplc="E3D2ADBC">
      <w:start w:val="1"/>
      <w:numFmt w:val="bullet"/>
      <w:pStyle w:val="Listapunktowana3"/>
      <w:lvlText w:val="-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0FAD"/>
    <w:multiLevelType w:val="hybridMultilevel"/>
    <w:tmpl w:val="2B84C2D8"/>
    <w:lvl w:ilvl="0" w:tplc="32D0A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DC1D72"/>
    <w:multiLevelType w:val="hybridMultilevel"/>
    <w:tmpl w:val="9564C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411F"/>
    <w:multiLevelType w:val="hybridMultilevel"/>
    <w:tmpl w:val="0E8C95AE"/>
    <w:lvl w:ilvl="0" w:tplc="CA5EE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6C13"/>
    <w:multiLevelType w:val="hybridMultilevel"/>
    <w:tmpl w:val="E95A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74020">
    <w:abstractNumId w:val="0"/>
  </w:num>
  <w:num w:numId="2" w16cid:durableId="138113467">
    <w:abstractNumId w:val="2"/>
  </w:num>
  <w:num w:numId="3" w16cid:durableId="1968007521">
    <w:abstractNumId w:val="7"/>
  </w:num>
  <w:num w:numId="4" w16cid:durableId="22288469">
    <w:abstractNumId w:val="4"/>
  </w:num>
  <w:num w:numId="5" w16cid:durableId="939525168">
    <w:abstractNumId w:val="5"/>
  </w:num>
  <w:num w:numId="6" w16cid:durableId="1324427719">
    <w:abstractNumId w:val="6"/>
  </w:num>
  <w:num w:numId="7" w16cid:durableId="1595437524">
    <w:abstractNumId w:val="3"/>
  </w:num>
  <w:num w:numId="8" w16cid:durableId="443034729">
    <w:abstractNumId w:val="1"/>
  </w:num>
  <w:num w:numId="9" w16cid:durableId="7568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FF"/>
    <w:rsid w:val="000C7B6B"/>
    <w:rsid w:val="003743C0"/>
    <w:rsid w:val="00573BFF"/>
    <w:rsid w:val="006B1001"/>
    <w:rsid w:val="00E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7F5760-843A-49BC-8F9D-FB7820C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52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1529E"/>
  </w:style>
  <w:style w:type="paragraph" w:styleId="Tekstpodstawowy">
    <w:name w:val="Body Text"/>
    <w:basedOn w:val="Normalny"/>
    <w:link w:val="TekstpodstawowyZnak"/>
    <w:rsid w:val="00E1529E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1529E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E1529E"/>
    <w:pPr>
      <w:ind w:left="720"/>
      <w:contextualSpacing/>
    </w:pPr>
  </w:style>
  <w:style w:type="paragraph" w:styleId="Listapunktowana3">
    <w:name w:val="List Bullet 3"/>
    <w:basedOn w:val="Normalny"/>
    <w:rsid w:val="00E1529E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bank.pl/" TargetMode="External"/><Relationship Id="rId2" Type="http://schemas.openxmlformats.org/officeDocument/2006/relationships/hyperlink" Target="http://m.st/" TargetMode="External"/><Relationship Id="rId1" Type="http://schemas.openxmlformats.org/officeDocument/2006/relationships/hyperlink" Target="http://www.bosbank.pl/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m.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Klentak Roman</dc:creator>
  <cp:keywords/>
  <dc:description/>
  <cp:lastModifiedBy>Kosobucka Maja</cp:lastModifiedBy>
  <cp:revision>4</cp:revision>
  <dcterms:created xsi:type="dcterms:W3CDTF">2022-05-24T08:05:00Z</dcterms:created>
  <dcterms:modified xsi:type="dcterms:W3CDTF">2022-05-24T08:41:00Z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2022-05-24T08:41:47Z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eb73ceee-0931-43cf-a457-25ed9edd2c81</vt:lpwstr>
  </property>
  <property fmtid="{D5CDD505-2E9C-101B-9397-08002B2CF9AE}" pid="8" name="MSIP_Label_da0d7ebb-8d5f-4d70-ab59-1b8ea1828e86_ContentBits">
    <vt:lpwstr>0</vt:lpwstr>
  </property>
</Properties>
</file>