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D88B" w14:textId="665D799B" w:rsidR="00044001" w:rsidRPr="00FF5E85" w:rsidRDefault="00044001">
      <w:pPr>
        <w:rPr>
          <w:rFonts w:cstheme="minorHAnsi"/>
          <w:sz w:val="20"/>
          <w:szCs w:val="20"/>
        </w:rPr>
      </w:pPr>
    </w:p>
    <w:p w14:paraId="25B2EAB6" w14:textId="77777777" w:rsidR="006B212C" w:rsidRPr="006B212C" w:rsidRDefault="006B212C" w:rsidP="006B212C">
      <w:pPr>
        <w:spacing w:after="120" w:line="240" w:lineRule="auto"/>
        <w:jc w:val="center"/>
        <w:rPr>
          <w:rFonts w:cstheme="minorHAnsi"/>
          <w:b/>
          <w:bCs/>
        </w:rPr>
      </w:pPr>
      <w:r w:rsidRPr="006B212C">
        <w:rPr>
          <w:rFonts w:cstheme="minorHAnsi"/>
          <w:b/>
          <w:bCs/>
        </w:rPr>
        <w:t>Zasady wyboru Wykonawcy przez BOŚ</w:t>
      </w:r>
    </w:p>
    <w:p w14:paraId="5BE30110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Niniejszy dokument „Zasady i kryteria wyboru Wykonawcy przez BOŚ” w ramach Projektu ”BOŚ Bank na rzecz zwiększenia Efektywności Energetycznej w Polsce (BOŚ4EE)” (dalej: „Zasady”) został opracowany w związku z zawartą w dniu 28 lutego 2022 r. pomiędzy Europejskim Bankiem Inwestycyjnym ( „EBI”) i Bankiem Ochrony Środowiska S.A. ( „Bank” lub „BOŚ”) umową w ramach Inicjatywy ELENA („Umowa ELENA”). </w:t>
      </w:r>
    </w:p>
    <w:p w14:paraId="2EAC9E74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Inicjatywa ELENA („Inicjatywa ELENA”) stanowi instrument wsparcia ustanowiony przez Komisję Europejską w ramach II Programu Inteligentna Energia – Europa, będącego  kontynuacją działań w ramach  “Horyzont 2020” Efektywność Energetyczna, realizowany przez Europejski Bank Inwestycyjny.</w:t>
      </w:r>
    </w:p>
    <w:p w14:paraId="2F47813D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 ramach Inicjatywy ELENA EBI przyznał BOŚ finansowanie m.in. na częściowe pokrycie kosztów przygotowania dokumentacji technicznej niezbędnej do realizacji inwestycji zwiększających efektywność energetyczną („Dokumentacja Techniczna”). </w:t>
      </w:r>
    </w:p>
    <w:p w14:paraId="6535C45E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Środki Inicjatywy ELENA przyznane są w ramach projektu "BOŚ Bank na rzecz zwiększenia Efektywności Energetycznej w Polsce" („Projekt ELENA”). Projekt ELENA będzie realizowany do 28 lutego 2025 roku.</w:t>
      </w:r>
    </w:p>
    <w:p w14:paraId="5ABB47BA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 ramach Projektu ELENA, Bank zawarł Ramowe Umowy Współpracy z wyspecjalizowanymi Wykonawcami Dokumentacji Technicznej („WDT”), którzy – na zlecenie BOŚ – przygotowują niezbędną dokumentację na rzecz podmiotów realizujących inwestycje zwiększające efektywność energetyczną, kwalifikujące się do uzyskania wsparcia w ramach Projektu ELENA. </w:t>
      </w:r>
    </w:p>
    <w:p w14:paraId="5DBB94E4" w14:textId="67769DB7" w:rsidR="006B212C" w:rsidRPr="006B212C" w:rsidRDefault="006B212C" w:rsidP="006B212C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 w:rsidRPr="006B212C">
        <w:rPr>
          <w:rFonts w:cstheme="minorHAnsi"/>
        </w:rPr>
        <w:t xml:space="preserve">WDT świadczą usługi polegające na przygotowaniu Dokumentacji Technicznej, umożliwiającej zbudowanie portfela nowych inwestycji, </w:t>
      </w:r>
      <w:r w:rsidR="005303C5">
        <w:rPr>
          <w:rFonts w:cstheme="minorHAnsi"/>
        </w:rPr>
        <w:t xml:space="preserve">których realizacja skutkować będzie </w:t>
      </w:r>
      <w:r w:rsidRPr="006B212C">
        <w:rPr>
          <w:rFonts w:cstheme="minorHAnsi"/>
        </w:rPr>
        <w:t>zwiększeni</w:t>
      </w:r>
      <w:r w:rsidR="005303C5">
        <w:rPr>
          <w:rFonts w:cstheme="minorHAnsi"/>
        </w:rPr>
        <w:t>em</w:t>
      </w:r>
      <w:r w:rsidRPr="006B212C">
        <w:rPr>
          <w:rFonts w:cstheme="minorHAnsi"/>
        </w:rPr>
        <w:t xml:space="preserve"> efektywności energetycznej w następujących obszarach tematycznych („Obszar”/„Obszary”):</w:t>
      </w:r>
    </w:p>
    <w:p w14:paraId="004BE55E" w14:textId="77777777" w:rsidR="006B212C" w:rsidRPr="006B212C" w:rsidRDefault="006B212C" w:rsidP="006B212C">
      <w:pPr>
        <w:pStyle w:val="Akapitzlist"/>
        <w:numPr>
          <w:ilvl w:val="0"/>
          <w:numId w:val="40"/>
        </w:numPr>
        <w:spacing w:after="120"/>
        <w:ind w:left="851" w:hanging="284"/>
        <w:jc w:val="both"/>
        <w:rPr>
          <w:rFonts w:cstheme="minorHAnsi"/>
        </w:rPr>
      </w:pPr>
      <w:r w:rsidRPr="006B212C">
        <w:rPr>
          <w:rFonts w:cstheme="minorHAnsi"/>
        </w:rPr>
        <w:t>budynki mieszkalne, budynki użyteczności publicznej oraz budynki należące do przedsiębiorstw;</w:t>
      </w:r>
    </w:p>
    <w:p w14:paraId="7AAB0842" w14:textId="77777777" w:rsidR="006B212C" w:rsidRPr="006B212C" w:rsidRDefault="006B212C" w:rsidP="006B212C">
      <w:pPr>
        <w:pStyle w:val="Akapitzlist"/>
        <w:numPr>
          <w:ilvl w:val="0"/>
          <w:numId w:val="40"/>
        </w:numPr>
        <w:spacing w:after="120"/>
        <w:ind w:left="851" w:hanging="284"/>
        <w:jc w:val="both"/>
        <w:rPr>
          <w:rFonts w:cstheme="minorHAnsi"/>
        </w:rPr>
      </w:pPr>
      <w:r w:rsidRPr="006B212C">
        <w:rPr>
          <w:rFonts w:cstheme="minorHAnsi"/>
        </w:rPr>
        <w:t>sieci ciepłownicze;</w:t>
      </w:r>
    </w:p>
    <w:p w14:paraId="0E68C644" w14:textId="77777777" w:rsidR="006B212C" w:rsidRPr="006B212C" w:rsidRDefault="006B212C" w:rsidP="006B212C">
      <w:pPr>
        <w:pStyle w:val="Akapitzlist"/>
        <w:numPr>
          <w:ilvl w:val="0"/>
          <w:numId w:val="40"/>
        </w:numPr>
        <w:spacing w:after="120"/>
        <w:ind w:left="851" w:hanging="284"/>
        <w:jc w:val="both"/>
        <w:rPr>
          <w:rFonts w:cstheme="minorHAnsi"/>
        </w:rPr>
      </w:pPr>
      <w:r w:rsidRPr="006B212C">
        <w:rPr>
          <w:rFonts w:cstheme="minorHAnsi"/>
        </w:rPr>
        <w:t>stacje ładowania pojazdów elektrycznych;</w:t>
      </w:r>
    </w:p>
    <w:p w14:paraId="648ACAFC" w14:textId="77777777" w:rsidR="006B212C" w:rsidRPr="006B212C" w:rsidRDefault="006B212C" w:rsidP="006B212C">
      <w:pPr>
        <w:pStyle w:val="Akapitzlist"/>
        <w:numPr>
          <w:ilvl w:val="0"/>
          <w:numId w:val="40"/>
        </w:numPr>
        <w:spacing w:after="120"/>
        <w:ind w:left="851" w:hanging="284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oświetlenie uliczne.</w:t>
      </w:r>
    </w:p>
    <w:p w14:paraId="3B9A0CCC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W przypadku inwestycji realizowanej przez inwestora stosującego Ustawę Prawo Zamówień Publicznych (PZP) („Inwestor”), wyboru  wykonawcy, który zrealizuje Dokumentację Techniczną niezbędną do realizacji inwestycji („Wykonawca”), dokonuje Bank w sposób zapewniający obiektywne, proporcjonalne i niedyskryminujące warunki, przy wykorzystaniu poniżej opisanej procedury.</w:t>
      </w:r>
    </w:p>
    <w:p w14:paraId="4FF2689B" w14:textId="19F4B7D0" w:rsidR="00FE5B76" w:rsidRPr="00FE5B76" w:rsidRDefault="006B212C" w:rsidP="00FE5B76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FE5B76">
        <w:rPr>
          <w:rFonts w:cstheme="minorHAnsi"/>
        </w:rPr>
        <w:t xml:space="preserve">W celu wyboru Wykonawcy Bank, po zaakceptowaniu złożonego przez Inwestora Wniosku o dofinansowanie ze środków ELENA,  wysyła Zaproszenie do Złożenia Oferty Realizacji Zadania („Zaproszenie”) do wszystkich współpracujących z BOŚ WDT, którzy świadczą usługi przygotowywania Dokumentacji Technicznej w danym Obszarze. Lista wykonawców współpracujących z Bankiem w ramach poszczególnych Obszarów dostępna jest na stronie </w:t>
      </w:r>
      <w:r w:rsidRPr="00FE5B76">
        <w:rPr>
          <w:rFonts w:cstheme="minorHAnsi"/>
        </w:rPr>
        <w:lastRenderedPageBreak/>
        <w:t xml:space="preserve">internetowej </w:t>
      </w:r>
      <w:hyperlink r:id="rId8" w:history="1">
        <w:r w:rsidR="00FE5B76" w:rsidRPr="001B4FBE">
          <w:rPr>
            <w:rStyle w:val="Hipercze"/>
            <w:rFonts w:cstheme="minorHAnsi"/>
          </w:rPr>
          <w:t>www.bosbank.pl/inicjatywa-elena</w:t>
        </w:r>
      </w:hyperlink>
      <w:r w:rsidR="00FE5B76">
        <w:rPr>
          <w:rFonts w:cstheme="minorHAnsi"/>
        </w:rPr>
        <w:t>, w zakładce „Dla Inwestorów”, pod linkiem „</w:t>
      </w:r>
      <w:r w:rsidR="00FE5B76" w:rsidRPr="00FE5B76">
        <w:rPr>
          <w:rFonts w:cstheme="minorHAnsi"/>
        </w:rPr>
        <w:t>Lista Wykonawców Dokumentacji Technicznej</w:t>
      </w:r>
      <w:r w:rsidR="00FE5B76">
        <w:rPr>
          <w:rFonts w:cstheme="minorHAnsi"/>
        </w:rPr>
        <w:t>”</w:t>
      </w:r>
      <w:r w:rsidR="00FE5B76" w:rsidRPr="00FE5B76">
        <w:rPr>
          <w:rFonts w:cstheme="minorHAnsi"/>
        </w:rPr>
        <w:t>.</w:t>
      </w:r>
    </w:p>
    <w:p w14:paraId="68633308" w14:textId="7A07515D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Przedstawione w Zaproszeniu kryteria oceny ofert oraz przypisane im wagi, przygotowane są na podstawie określonych przez Inwestora Kryteriów Wyboru Wykonawcy („Kryteria”)   </w:t>
      </w:r>
    </w:p>
    <w:p w14:paraId="40A9A4D4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Bank wysyła do WDT Zaproszenia w tym samym czasie, za pośrednictwem poczty elektronicznej. </w:t>
      </w:r>
    </w:p>
    <w:p w14:paraId="47253A92" w14:textId="5C3C6E1E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WDT składa Ofertę Realizacji Zadania ("Oferta") nie później niż w Dacie Zamknięcia Ofert ("Data Zamknięcia") określonej w Zaproszeniu. </w:t>
      </w:r>
    </w:p>
    <w:p w14:paraId="7A44DFE8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bookmarkStart w:id="0" w:name="_Hlk111043060"/>
      <w:r w:rsidRPr="006B212C">
        <w:rPr>
          <w:rFonts w:cstheme="minorHAnsi"/>
        </w:rPr>
        <w:t>WDT może, w terminie wskazanym w Zaproszeniu, kierować na piśmie do wyznaczonej w Zaproszeniu osoby kontaktowej pytania dotyczące Zaproszenia</w:t>
      </w:r>
      <w:bookmarkEnd w:id="0"/>
      <w:r w:rsidRPr="006B212C">
        <w:rPr>
          <w:rFonts w:cstheme="minorHAnsi"/>
        </w:rPr>
        <w:t xml:space="preserve">. </w:t>
      </w:r>
      <w:bookmarkStart w:id="1" w:name="_Hlk111043383"/>
      <w:r w:rsidRPr="006B212C">
        <w:rPr>
          <w:rFonts w:cstheme="minorHAnsi"/>
        </w:rPr>
        <w:t>Bank udzieli łącznie odpowiedzi na wszystkie pytania zadane przez poszczególnych WDT i prześle tak przygotowane wyjaśnienia pocztą elektroniczną jednocześnie do wszystkich WDT, którzy złożyli Ofertę w danym postępowaniu, w terminie wskazanym w Zaproszeniu.</w:t>
      </w:r>
    </w:p>
    <w:bookmarkEnd w:id="1"/>
    <w:p w14:paraId="3F4EC490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Po otrzymaniu Ofert, Bank dokonuje ich porównania w oparciu o przedstawione w Zaproszeniu kryteria i przypisane do nich wagi, wskazane przez Inwestora w Kryteriach. </w:t>
      </w:r>
    </w:p>
    <w:p w14:paraId="4BD796C3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Wykonawca wybierany jest przy zastosowaniu kryteriów:</w:t>
      </w:r>
    </w:p>
    <w:p w14:paraId="28BF9780" w14:textId="77777777" w:rsidR="006B212C" w:rsidRPr="006B212C" w:rsidRDefault="006B212C" w:rsidP="006B212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cena całkowita (waga minimum 50%),</w:t>
      </w:r>
    </w:p>
    <w:p w14:paraId="5923C91D" w14:textId="77777777" w:rsidR="006B212C" w:rsidRPr="006B212C" w:rsidRDefault="006B212C" w:rsidP="006B212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dodatkowe kryterium/kryteria istotne dla Inwestora w przypadku realizowanej Inwestycji (waga maksymalnie 50%).</w:t>
      </w: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6095"/>
        <w:gridCol w:w="2693"/>
      </w:tblGrid>
      <w:tr w:rsidR="006B212C" w:rsidRPr="006B212C" w14:paraId="0FDBFD56" w14:textId="77777777" w:rsidTr="00EB05DE">
        <w:trPr>
          <w:jc w:val="center"/>
        </w:trPr>
        <w:tc>
          <w:tcPr>
            <w:tcW w:w="6095" w:type="dxa"/>
          </w:tcPr>
          <w:p w14:paraId="4CE73F8A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  <w:b/>
                <w:bCs/>
              </w:rPr>
            </w:pPr>
            <w:r w:rsidRPr="006B212C">
              <w:rPr>
                <w:rFonts w:cstheme="minorHAnsi"/>
                <w:b/>
                <w:bCs/>
              </w:rPr>
              <w:t>Kryteria wyboru Wykonawcy</w:t>
            </w:r>
          </w:p>
        </w:tc>
        <w:tc>
          <w:tcPr>
            <w:tcW w:w="2693" w:type="dxa"/>
          </w:tcPr>
          <w:p w14:paraId="5E7D8173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  <w:b/>
                <w:bCs/>
              </w:rPr>
            </w:pPr>
            <w:r w:rsidRPr="006B212C">
              <w:rPr>
                <w:rFonts w:cstheme="minorHAnsi"/>
                <w:b/>
                <w:bCs/>
              </w:rPr>
              <w:t>Waga</w:t>
            </w:r>
          </w:p>
        </w:tc>
      </w:tr>
      <w:tr w:rsidR="006B212C" w:rsidRPr="006B212C" w14:paraId="32DF35AF" w14:textId="77777777" w:rsidTr="00EB05DE">
        <w:trPr>
          <w:jc w:val="center"/>
        </w:trPr>
        <w:tc>
          <w:tcPr>
            <w:tcW w:w="6095" w:type="dxa"/>
          </w:tcPr>
          <w:p w14:paraId="05927695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Całkowita cena wykonania Dokumentacji Technicznej</w:t>
            </w:r>
          </w:p>
        </w:tc>
        <w:tc>
          <w:tcPr>
            <w:tcW w:w="2693" w:type="dxa"/>
          </w:tcPr>
          <w:p w14:paraId="5EDBD74B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minimalnie 50%</w:t>
            </w:r>
          </w:p>
        </w:tc>
      </w:tr>
      <w:tr w:rsidR="006B212C" w:rsidRPr="006B212C" w14:paraId="221B6FC4" w14:textId="77777777" w:rsidTr="00EB05DE">
        <w:trPr>
          <w:jc w:val="center"/>
        </w:trPr>
        <w:tc>
          <w:tcPr>
            <w:tcW w:w="6095" w:type="dxa"/>
          </w:tcPr>
          <w:p w14:paraId="381B4175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Dodatkowe kryterium/kryteria istotne dla Inwestora</w:t>
            </w:r>
          </w:p>
        </w:tc>
        <w:tc>
          <w:tcPr>
            <w:tcW w:w="2693" w:type="dxa"/>
          </w:tcPr>
          <w:p w14:paraId="08AAF8E7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maksymalnie 50%</w:t>
            </w:r>
          </w:p>
        </w:tc>
      </w:tr>
    </w:tbl>
    <w:p w14:paraId="119B6E60" w14:textId="77777777" w:rsidR="006B212C" w:rsidRPr="006B212C" w:rsidRDefault="006B212C" w:rsidP="006B212C">
      <w:pPr>
        <w:spacing w:after="120" w:line="240" w:lineRule="auto"/>
        <w:ind w:left="851" w:hanging="425"/>
        <w:jc w:val="both"/>
        <w:rPr>
          <w:rFonts w:cstheme="minorHAnsi"/>
        </w:rPr>
      </w:pPr>
    </w:p>
    <w:p w14:paraId="12E606E2" w14:textId="155960A6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Decyzją Inwestora, waga kryterium ceny całkowitej, o którym mowa w pkt 14a, może zostać podwyższona do dowolnej liczby punktów procentowych mieszczących się w przedziale 50%-100%. </w:t>
      </w:r>
    </w:p>
    <w:p w14:paraId="1DA2D3CF" w14:textId="732BA4D0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 przypadku, gdy Inwestor uzna kryterium cenowe za wystarczające do dokonania wyboru Wykonawcy, cena może stanowić jedyne kryterium wyboru oferty. W takiej sytuacji Inwestor jest zwolniony z obowiązku przedłożenia </w:t>
      </w:r>
      <w:r w:rsidR="00E07B1D">
        <w:rPr>
          <w:rFonts w:cstheme="minorHAnsi"/>
        </w:rPr>
        <w:t>k</w:t>
      </w:r>
      <w:r w:rsidRPr="006B212C">
        <w:rPr>
          <w:rFonts w:cstheme="minorHAnsi"/>
        </w:rPr>
        <w:t>ryteriów</w:t>
      </w:r>
      <w:r w:rsidR="00E07B1D">
        <w:rPr>
          <w:rFonts w:cstheme="minorHAnsi"/>
        </w:rPr>
        <w:t xml:space="preserve"> dodatkowych</w:t>
      </w:r>
      <w:r w:rsidRPr="006B212C">
        <w:rPr>
          <w:rFonts w:cstheme="minorHAnsi"/>
        </w:rPr>
        <w:t xml:space="preserve">, o których mowa w </w:t>
      </w:r>
      <w:r w:rsidR="00CD0E95">
        <w:rPr>
          <w:rFonts w:cstheme="minorHAnsi"/>
        </w:rPr>
        <w:t xml:space="preserve">pkt </w:t>
      </w:r>
      <w:r w:rsidR="00E07B1D">
        <w:rPr>
          <w:rFonts w:cstheme="minorHAnsi"/>
        </w:rPr>
        <w:t>18</w:t>
      </w:r>
      <w:r w:rsidRPr="006B212C">
        <w:rPr>
          <w:rFonts w:cstheme="minorHAnsi"/>
        </w:rPr>
        <w:t>, a Bank stosuje wyłącznie cenowe kryterium wyboru Wykonawcy; tym samym waga całkowitej ceny wykonania Dokumentacji Technicznej wynosi 100%.</w:t>
      </w:r>
    </w:p>
    <w:p w14:paraId="0AA47F86" w14:textId="2C5C1783" w:rsidR="006B212C" w:rsidRPr="006B212C" w:rsidRDefault="00CD0E95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 zastrzeżeniem postanowienia pkt 16 </w:t>
      </w:r>
      <w:r w:rsidR="006B212C" w:rsidRPr="006B212C">
        <w:rPr>
          <w:rFonts w:cstheme="minorHAnsi"/>
        </w:rPr>
        <w:t>Inwestor stosuje kryteria dodatkowe, o których mowa w pkt 14b), przestrzegając poniższych zasad:</w:t>
      </w:r>
    </w:p>
    <w:p w14:paraId="63BCEA8E" w14:textId="77777777" w:rsidR="006B212C" w:rsidRPr="006B212C" w:rsidRDefault="006B212C" w:rsidP="006B212C">
      <w:pPr>
        <w:pStyle w:val="Akapitzlist"/>
        <w:numPr>
          <w:ilvl w:val="0"/>
          <w:numId w:val="42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łączna waga kryteriów dodatkowych nie przekroczy 50%;</w:t>
      </w:r>
    </w:p>
    <w:p w14:paraId="617F303C" w14:textId="3DB52257" w:rsidR="006B212C" w:rsidRPr="006B212C" w:rsidRDefault="006B212C" w:rsidP="006B212C">
      <w:pPr>
        <w:pStyle w:val="Akapitzlist"/>
        <w:numPr>
          <w:ilvl w:val="0"/>
          <w:numId w:val="42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kryteria dodatkowe </w:t>
      </w:r>
      <w:r w:rsidR="00312066">
        <w:rPr>
          <w:rFonts w:cstheme="minorHAnsi"/>
        </w:rPr>
        <w:t xml:space="preserve">nie wykraczają poza listę kryteriów wymienionych w </w:t>
      </w:r>
      <w:r w:rsidR="00CD0E95">
        <w:rPr>
          <w:rFonts w:cstheme="minorHAnsi"/>
        </w:rPr>
        <w:t xml:space="preserve">pkt </w:t>
      </w:r>
      <w:r w:rsidRPr="006B212C">
        <w:rPr>
          <w:rFonts w:cstheme="minorHAnsi"/>
        </w:rPr>
        <w:t xml:space="preserve"> 18. </w:t>
      </w:r>
    </w:p>
    <w:p w14:paraId="676A6827" w14:textId="68F3277D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Dodatkowe kryterium/kryteria, z których może skorzystać Inwestor, potwierdzając je w Kryteriach, o których mowa w </w:t>
      </w:r>
      <w:r w:rsidR="00CD0E95">
        <w:rPr>
          <w:rFonts w:cstheme="minorHAnsi"/>
        </w:rPr>
        <w:t xml:space="preserve">pkt </w:t>
      </w:r>
      <w:r w:rsidRPr="006B212C">
        <w:rPr>
          <w:rFonts w:cstheme="minorHAnsi"/>
        </w:rPr>
        <w:t>9</w:t>
      </w:r>
      <w:r w:rsidR="00E07B1D">
        <w:rPr>
          <w:rFonts w:cstheme="minorHAnsi"/>
        </w:rPr>
        <w:t>, są następujące</w:t>
      </w:r>
      <w:r w:rsidRPr="006B212C">
        <w:rPr>
          <w:rFonts w:cstheme="minorHAnsi"/>
        </w:rPr>
        <w:t>:</w:t>
      </w:r>
    </w:p>
    <w:p w14:paraId="782A91C2" w14:textId="77777777" w:rsidR="006B212C" w:rsidRPr="006B212C" w:rsidRDefault="006B212C" w:rsidP="006B212C">
      <w:pPr>
        <w:pStyle w:val="Default"/>
        <w:numPr>
          <w:ilvl w:val="2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2659941"/>
      <w:r w:rsidRPr="006B212C">
        <w:rPr>
          <w:rFonts w:asciiTheme="minorHAnsi" w:hAnsiTheme="minorHAnsi" w:cstheme="minorHAnsi"/>
          <w:sz w:val="22"/>
          <w:szCs w:val="22"/>
        </w:rPr>
        <w:t>liczba projektów zrealizowanych dla JST i innych  podmiotów gospodarki komunalnej w ciągu ostatnich 3 lat;</w:t>
      </w:r>
    </w:p>
    <w:p w14:paraId="1426A768" w14:textId="77777777" w:rsidR="006B212C" w:rsidRPr="006B212C" w:rsidRDefault="006B212C" w:rsidP="006B212C">
      <w:pPr>
        <w:pStyle w:val="Default"/>
        <w:numPr>
          <w:ilvl w:val="2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B212C">
        <w:rPr>
          <w:rFonts w:asciiTheme="minorHAnsi" w:hAnsiTheme="minorHAnsi" w:cstheme="minorHAnsi"/>
          <w:sz w:val="22"/>
          <w:szCs w:val="22"/>
        </w:rPr>
        <w:lastRenderedPageBreak/>
        <w:t>wartość projektów zrealizowanych dla JST i innych podmiotów gospodarki komunalnej w ciągu ostatnich 3 lat;</w:t>
      </w:r>
    </w:p>
    <w:p w14:paraId="29F0F1DC" w14:textId="77777777" w:rsidR="006B212C" w:rsidRPr="006B212C" w:rsidRDefault="006B212C" w:rsidP="006B212C">
      <w:pPr>
        <w:pStyle w:val="Default"/>
        <w:numPr>
          <w:ilvl w:val="2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B212C">
        <w:rPr>
          <w:rFonts w:asciiTheme="minorHAnsi" w:hAnsiTheme="minorHAnsi" w:cstheme="minorHAnsi"/>
          <w:sz w:val="22"/>
          <w:szCs w:val="22"/>
        </w:rPr>
        <w:t>doświadczenie i kwalifikacje zespołu realizującego usługę.</w:t>
      </w:r>
    </w:p>
    <w:p w14:paraId="1B7B5DCA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bookmarkStart w:id="3" w:name="_Hlk107928713"/>
      <w:bookmarkEnd w:id="2"/>
      <w:r w:rsidRPr="006B212C">
        <w:rPr>
          <w:rFonts w:cstheme="minorHAnsi"/>
        </w:rPr>
        <w:t>Kalkulacja ostatecznego wyniku dla kryterium „Ceny całkowitej” będzie oparta o poniżej wskazany wzór. Najniższa zaoferowana cena otrzyma maksymalną liczbę punktów w ramach danej wagi (minimum 50 pkt). Pozostałe oferty w ramach kryterium „Cena całkowita” otrzymają liczbę punktów obliczoną wg poniższego wzoru:</w:t>
      </w:r>
    </w:p>
    <w:tbl>
      <w:tblPr>
        <w:tblStyle w:val="Tabela-Siatka"/>
        <w:tblW w:w="0" w:type="auto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2564"/>
      </w:tblGrid>
      <w:tr w:rsidR="006B212C" w:rsidRPr="006B212C" w14:paraId="5EE23119" w14:textId="77777777" w:rsidTr="00EB05D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9D231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  <w:bookmarkStart w:id="4" w:name="_Hlk107928763"/>
            <w:r w:rsidRPr="006B212C">
              <w:rPr>
                <w:rFonts w:cstheme="minorHAnsi"/>
              </w:rPr>
              <w:t>Najniższa oferowana cena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7918A66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X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75AC6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Waga (minimum 50%)</w:t>
            </w:r>
          </w:p>
        </w:tc>
      </w:tr>
      <w:tr w:rsidR="006B212C" w:rsidRPr="006B212C" w14:paraId="20A939C4" w14:textId="77777777" w:rsidTr="00EB05D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7DC0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Cena w ofercie będącej przedmiotem oceny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71EF747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015866" w14:textId="77777777" w:rsidR="006B212C" w:rsidRPr="006B212C" w:rsidRDefault="006B212C" w:rsidP="00EB05DE">
            <w:pPr>
              <w:spacing w:after="120"/>
              <w:jc w:val="both"/>
              <w:rPr>
                <w:rFonts w:cstheme="minorHAnsi"/>
              </w:rPr>
            </w:pPr>
          </w:p>
        </w:tc>
      </w:tr>
      <w:bookmarkEnd w:id="4"/>
    </w:tbl>
    <w:p w14:paraId="1719DFA9" w14:textId="77777777" w:rsidR="006B212C" w:rsidRPr="006B212C" w:rsidRDefault="006B212C" w:rsidP="006B212C">
      <w:pPr>
        <w:spacing w:after="120" w:line="240" w:lineRule="auto"/>
        <w:jc w:val="both"/>
        <w:rPr>
          <w:rFonts w:cstheme="minorHAnsi"/>
        </w:rPr>
      </w:pPr>
    </w:p>
    <w:p w14:paraId="56A6067F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 przypadku pozostałych kryteriów, kalkulacja będzie oparta o następujący wzór: </w:t>
      </w:r>
    </w:p>
    <w:p w14:paraId="3A542781" w14:textId="77777777" w:rsidR="006B212C" w:rsidRPr="006B212C" w:rsidRDefault="006B212C" w:rsidP="006B212C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WDT, który złoży najkorzystniejszą ofertę z punktu widzenia danego kryterium, otrzyma maksymalną liczbę punktów w ramach danej wagi. </w:t>
      </w:r>
    </w:p>
    <w:p w14:paraId="497C52E2" w14:textId="77777777" w:rsidR="006B212C" w:rsidRPr="006B212C" w:rsidRDefault="006B212C" w:rsidP="006B212C">
      <w:pPr>
        <w:pStyle w:val="Akapitzlist"/>
        <w:keepNext/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Pozostałe oferty w ramach kryterium otrzymają liczbę punktów obliczoną wg poniższego wzoru:</w:t>
      </w:r>
    </w:p>
    <w:tbl>
      <w:tblPr>
        <w:tblStyle w:val="Tabela-Siatka"/>
        <w:tblW w:w="0" w:type="auto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2564"/>
      </w:tblGrid>
      <w:tr w:rsidR="006B212C" w:rsidRPr="006B212C" w14:paraId="3C446813" w14:textId="77777777" w:rsidTr="00EB05D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48BD5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bookmarkStart w:id="5" w:name="_Hlk107933852"/>
            <w:r w:rsidRPr="006B212C">
              <w:rPr>
                <w:rFonts w:cstheme="minorHAnsi"/>
              </w:rPr>
              <w:t>Najkorzystniejsza oferta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4F53B28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X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B19AB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Waga</w:t>
            </w:r>
          </w:p>
        </w:tc>
      </w:tr>
      <w:tr w:rsidR="006B212C" w:rsidRPr="006B212C" w14:paraId="637D5F06" w14:textId="77777777" w:rsidTr="00EB05D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6829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  <w:r w:rsidRPr="006B212C">
              <w:rPr>
                <w:rFonts w:cstheme="minorHAnsi"/>
              </w:rPr>
              <w:t>Oceniana oferta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BFDBCC5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3F9D2B" w14:textId="77777777" w:rsidR="006B212C" w:rsidRPr="006B212C" w:rsidRDefault="006B212C" w:rsidP="00EB05DE">
            <w:pPr>
              <w:keepNext/>
              <w:spacing w:after="120"/>
              <w:jc w:val="both"/>
              <w:rPr>
                <w:rFonts w:cstheme="minorHAnsi"/>
              </w:rPr>
            </w:pPr>
          </w:p>
        </w:tc>
      </w:tr>
      <w:bookmarkEnd w:id="5"/>
    </w:tbl>
    <w:p w14:paraId="5BB3524D" w14:textId="77777777" w:rsidR="006B212C" w:rsidRPr="006B212C" w:rsidRDefault="006B212C" w:rsidP="006B212C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09694E1C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Ostateczna punktacja każdej Oferty zostanie obliczona poprzez zsumowanie wyniku uzyskanego w ramach poszczególnych kryteriów.</w:t>
      </w:r>
    </w:p>
    <w:p w14:paraId="27E63E7F" w14:textId="0F2FE96E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Bank przeprowadza ocenę zgodnie ze wskazanymi powyżej kryteriami i przedstawia </w:t>
      </w:r>
      <w:r w:rsidR="00254830">
        <w:rPr>
          <w:rFonts w:cstheme="minorHAnsi"/>
        </w:rPr>
        <w:t xml:space="preserve">Inwestorowi </w:t>
      </w:r>
      <w:r w:rsidRPr="006B212C">
        <w:rPr>
          <w:rFonts w:cstheme="minorHAnsi"/>
        </w:rPr>
        <w:t xml:space="preserve">porównanie otrzymanych ofert. </w:t>
      </w:r>
    </w:p>
    <w:p w14:paraId="7EC2B377" w14:textId="310A7966" w:rsidR="00F9338B" w:rsidRDefault="00F9338B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przypadku, gdy w rezultacie oceny przeprowadzonej przez Bank, najkorzystniejszą liczbę punktów uzyska więcej niż jeden Wykonawca, Bank zwraca się do JST z prośbą o wskazanie metody, która pozwoli na wyłonienie </w:t>
      </w:r>
      <w:r w:rsidR="00E31BD6">
        <w:rPr>
          <w:rFonts w:cstheme="minorHAnsi"/>
        </w:rPr>
        <w:t>jednej, najkorzystniejszej</w:t>
      </w:r>
      <w:r>
        <w:rPr>
          <w:rFonts w:cstheme="minorHAnsi"/>
        </w:rPr>
        <w:t xml:space="preserve"> Oferty, tj.:</w:t>
      </w:r>
    </w:p>
    <w:p w14:paraId="0992739C" w14:textId="79F25E52" w:rsidR="00F9338B" w:rsidRDefault="00F9338B" w:rsidP="00F9338B">
      <w:pPr>
        <w:pStyle w:val="Akapitzlist"/>
        <w:numPr>
          <w:ilvl w:val="0"/>
          <w:numId w:val="46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wybór Oferty korzystniejszej z punktu widzenia kryterium „Ceny całkowitej” (tj. wybór Oferty, która uzyskała większą liczbę punktów w ramach tego kryterium);</w:t>
      </w:r>
      <w:r w:rsidR="00A833C9">
        <w:rPr>
          <w:rFonts w:cstheme="minorHAnsi"/>
        </w:rPr>
        <w:t xml:space="preserve"> lub</w:t>
      </w:r>
    </w:p>
    <w:p w14:paraId="3BB1C4B0" w14:textId="283B6B54" w:rsidR="00F9338B" w:rsidRDefault="00F9338B" w:rsidP="00F9338B">
      <w:pPr>
        <w:pStyle w:val="Akapitzlist"/>
        <w:numPr>
          <w:ilvl w:val="0"/>
          <w:numId w:val="46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zwrócenie się do Oferentów z prośbą o ponowne złożenie oferty cenowej.</w:t>
      </w:r>
    </w:p>
    <w:p w14:paraId="0A9138BB" w14:textId="118539BA" w:rsidR="00F9338B" w:rsidRDefault="00F9338B" w:rsidP="00F9338B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 zastosowaniu metody wyłonienia Wykonawcy wskazanej w pkt 23 i zarekomendowanej przez JST, Bank </w:t>
      </w:r>
      <w:r w:rsidR="00E31BD6">
        <w:rPr>
          <w:rFonts w:cstheme="minorHAnsi"/>
        </w:rPr>
        <w:t xml:space="preserve">dokonuje ponownego przeliczenia punktów dla najkorzystniejszych Ofert, w celu wyłonienia Oferty, która uzyskała najwyższą liczbę punktów. </w:t>
      </w:r>
    </w:p>
    <w:p w14:paraId="46F85C10" w14:textId="5AC9C4DF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Bank informuje o wynikach wyboru wszystkich WDT, którzy złożyli Oferty, w ciągu 7 (siedmiu) dni kalendarzowych od Daty Zamknięcia. Informacja o wynikach zostanie przesłana pocztą elektroniczną na podane w ofertach adresy mailowe.</w:t>
      </w:r>
    </w:p>
    <w:p w14:paraId="40F0A80E" w14:textId="019D5DCB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WDT, którego Oferta zostanie wybrana jako najkorzystniejsza, zostanie poinformowany o wyborze jego oferty oraz o możliwości zawarcia Umowy Realizacji, w ciągu 7 (siedmiu) dni kalendarzowych od Daty Zamknięcia.</w:t>
      </w:r>
    </w:p>
    <w:p w14:paraId="6B6BFD8C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lastRenderedPageBreak/>
        <w:t>Złożone w danym postępowaniu Oferty pozostają ważne przez okres 30 dni licząc od dnia następującego po Dacie Zamknięcia.</w:t>
      </w:r>
    </w:p>
    <w:p w14:paraId="28EAC33F" w14:textId="2305CA4D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Termin ważności najkorzystniejszej Oferty zostaje przedłużony dodatkowo o 30 dni, o czym </w:t>
      </w:r>
      <w:r w:rsidR="002852C5">
        <w:rPr>
          <w:rFonts w:cstheme="minorHAnsi"/>
        </w:rPr>
        <w:t>Bank</w:t>
      </w:r>
      <w:r w:rsidR="002852C5" w:rsidRPr="006B212C">
        <w:rPr>
          <w:rFonts w:cstheme="minorHAnsi"/>
        </w:rPr>
        <w:t xml:space="preserve"> </w:t>
      </w:r>
      <w:r w:rsidRPr="006B212C">
        <w:rPr>
          <w:rFonts w:cstheme="minorHAnsi"/>
        </w:rPr>
        <w:t>informuje Wykonawcę w dniu zawiadomienia o wyborze oferty i o możliwości podpisania Umowy Realizacji.</w:t>
      </w:r>
    </w:p>
    <w:p w14:paraId="51510434" w14:textId="302EB75A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Niezwłocznie po poinformowaniu Wykonawcy o jego wyborze, podjęte zostaną czynności mające na celu zawarcie Umowy o dofinansowanie pomiędzy Inwestorem a BOŚ oraz Umowy Realizacji pomiędzy </w:t>
      </w:r>
      <w:r w:rsidR="00312066">
        <w:rPr>
          <w:rFonts w:cstheme="minorHAnsi"/>
        </w:rPr>
        <w:t xml:space="preserve">Bankiem </w:t>
      </w:r>
      <w:r w:rsidRPr="006B212C">
        <w:rPr>
          <w:rFonts w:cstheme="minorHAnsi"/>
        </w:rPr>
        <w:t xml:space="preserve">a Wykonawcą. </w:t>
      </w:r>
    </w:p>
    <w:p w14:paraId="2C1B2133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>Bank będzie uprawniony, w każdym czasie, do unieważnienia postępowania ofertowego bez dokonania wyboru oferty, bez podania przyczyn i bez ponoszenia jakiejkolwiek odpowiedzialności ani kosztów wobec któregokolwiek z WDT biorących udział w postępowaniu. W takim przypadku Bank będzie uprawniony do zdefiniowania na nowo warunków wykonania Zadania oraz do ogłoszenia nowego postępowania ofertowego.</w:t>
      </w:r>
    </w:p>
    <w:p w14:paraId="27D560FE" w14:textId="77777777" w:rsidR="006B212C" w:rsidRPr="006B212C" w:rsidRDefault="006B212C" w:rsidP="006B212C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6B212C">
        <w:rPr>
          <w:rFonts w:cstheme="minorHAnsi"/>
        </w:rPr>
        <w:t xml:space="preserve">Wykonawca rozpocznie działania po podpisaniu Umowy Realizacji. </w:t>
      </w:r>
    </w:p>
    <w:p w14:paraId="3FF6C458" w14:textId="77777777" w:rsidR="006B212C" w:rsidRPr="006B212C" w:rsidRDefault="006B212C" w:rsidP="006B212C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bookmarkEnd w:id="3"/>
    <w:p w14:paraId="291C6805" w14:textId="292A8BFE" w:rsidR="004E1920" w:rsidRPr="00FF5E85" w:rsidRDefault="004E1920" w:rsidP="00C25B45">
      <w:pPr>
        <w:rPr>
          <w:rFonts w:cstheme="minorHAnsi"/>
          <w:b/>
          <w:sz w:val="16"/>
          <w:szCs w:val="16"/>
        </w:rPr>
      </w:pPr>
    </w:p>
    <w:sectPr w:rsidR="004E1920" w:rsidRPr="00FF5E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948" w14:textId="77777777" w:rsidR="00E40E2A" w:rsidRDefault="00E40E2A" w:rsidP="00E82DD9">
      <w:pPr>
        <w:spacing w:after="0" w:line="240" w:lineRule="auto"/>
      </w:pPr>
      <w:r>
        <w:separator/>
      </w:r>
    </w:p>
  </w:endnote>
  <w:endnote w:type="continuationSeparator" w:id="0">
    <w:p w14:paraId="52E6F995" w14:textId="77777777" w:rsidR="00E40E2A" w:rsidRDefault="00E40E2A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EFD0" w14:textId="77777777" w:rsidR="00E40E2A" w:rsidRDefault="00E40E2A" w:rsidP="00E82DD9">
      <w:pPr>
        <w:spacing w:after="0" w:line="240" w:lineRule="auto"/>
      </w:pPr>
      <w:r>
        <w:separator/>
      </w:r>
    </w:p>
  </w:footnote>
  <w:footnote w:type="continuationSeparator" w:id="0">
    <w:p w14:paraId="31103FC3" w14:textId="77777777" w:rsidR="00E40E2A" w:rsidRDefault="00E40E2A" w:rsidP="00E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386D" w14:textId="455D6FFA" w:rsidR="00285C02" w:rsidRDefault="00285C02" w:rsidP="009E1CBD">
    <w:pPr>
      <w:spacing w:after="0"/>
      <w:ind w:right="-426"/>
      <w:jc w:val="right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4E1EB460" wp14:editId="0AFAAE94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DA22A" w14:textId="589A10A1" w:rsidR="00876DC2" w:rsidRPr="00EF2922" w:rsidRDefault="00876DC2" w:rsidP="009E1CBD">
    <w:pPr>
      <w:spacing w:after="0"/>
      <w:ind w:right="-426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Załącznik nr 3 do Wniosku o dofinansowanie JST</w:t>
    </w:r>
  </w:p>
  <w:p w14:paraId="3C484F7B" w14:textId="77777777" w:rsidR="00285C02" w:rsidRDefault="00285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4272"/>
    <w:multiLevelType w:val="hybridMultilevel"/>
    <w:tmpl w:val="1298B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25C5241D"/>
    <w:multiLevelType w:val="hybridMultilevel"/>
    <w:tmpl w:val="7B52765E"/>
    <w:lvl w:ilvl="0" w:tplc="0D107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0203"/>
    <w:multiLevelType w:val="hybridMultilevel"/>
    <w:tmpl w:val="25B27BFC"/>
    <w:lvl w:ilvl="0" w:tplc="449C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9AF1FD1"/>
    <w:multiLevelType w:val="hybridMultilevel"/>
    <w:tmpl w:val="9F5E4D26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2C7B38"/>
    <w:multiLevelType w:val="hybridMultilevel"/>
    <w:tmpl w:val="DEF4D378"/>
    <w:lvl w:ilvl="0" w:tplc="B6BAA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A1A17"/>
    <w:multiLevelType w:val="hybridMultilevel"/>
    <w:tmpl w:val="407E7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1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1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7"/>
  </w:num>
  <w:num w:numId="3" w16cid:durableId="1034770919">
    <w:abstractNumId w:val="34"/>
  </w:num>
  <w:num w:numId="4" w16cid:durableId="29428334">
    <w:abstractNumId w:val="24"/>
  </w:num>
  <w:num w:numId="5" w16cid:durableId="1674065975">
    <w:abstractNumId w:val="30"/>
  </w:num>
  <w:num w:numId="6" w16cid:durableId="828911372">
    <w:abstractNumId w:val="38"/>
  </w:num>
  <w:num w:numId="7" w16cid:durableId="667249861">
    <w:abstractNumId w:val="2"/>
  </w:num>
  <w:num w:numId="8" w16cid:durableId="292946631">
    <w:abstractNumId w:val="33"/>
  </w:num>
  <w:num w:numId="9" w16cid:durableId="1775393531">
    <w:abstractNumId w:val="40"/>
  </w:num>
  <w:num w:numId="10" w16cid:durableId="1881480190">
    <w:abstractNumId w:val="7"/>
  </w:num>
  <w:num w:numId="11" w16cid:durableId="1601987378">
    <w:abstractNumId w:val="16"/>
  </w:num>
  <w:num w:numId="12" w16cid:durableId="1831553915">
    <w:abstractNumId w:val="15"/>
  </w:num>
  <w:num w:numId="13" w16cid:durableId="358244381">
    <w:abstractNumId w:val="3"/>
  </w:num>
  <w:num w:numId="14" w16cid:durableId="1075738308">
    <w:abstractNumId w:val="14"/>
  </w:num>
  <w:num w:numId="15" w16cid:durableId="2050957041">
    <w:abstractNumId w:val="36"/>
  </w:num>
  <w:num w:numId="16" w16cid:durableId="1171482513">
    <w:abstractNumId w:val="23"/>
  </w:num>
  <w:num w:numId="17" w16cid:durableId="403186911">
    <w:abstractNumId w:val="42"/>
  </w:num>
  <w:num w:numId="18" w16cid:durableId="565921772">
    <w:abstractNumId w:val="9"/>
  </w:num>
  <w:num w:numId="19" w16cid:durableId="1120800550">
    <w:abstractNumId w:val="39"/>
  </w:num>
  <w:num w:numId="20" w16cid:durableId="421872575">
    <w:abstractNumId w:val="26"/>
  </w:num>
  <w:num w:numId="21" w16cid:durableId="469634211">
    <w:abstractNumId w:val="35"/>
  </w:num>
  <w:num w:numId="22" w16cid:durableId="584923279">
    <w:abstractNumId w:val="5"/>
  </w:num>
  <w:num w:numId="23" w16cid:durableId="1783383686">
    <w:abstractNumId w:val="1"/>
  </w:num>
  <w:num w:numId="24" w16cid:durableId="216749789">
    <w:abstractNumId w:val="29"/>
  </w:num>
  <w:num w:numId="25" w16cid:durableId="64643589">
    <w:abstractNumId w:val="17"/>
  </w:num>
  <w:num w:numId="26" w16cid:durableId="1703166572">
    <w:abstractNumId w:val="32"/>
  </w:num>
  <w:num w:numId="27" w16cid:durableId="27336790">
    <w:abstractNumId w:val="21"/>
  </w:num>
  <w:num w:numId="28" w16cid:durableId="1401713986">
    <w:abstractNumId w:val="10"/>
  </w:num>
  <w:num w:numId="29" w16cid:durableId="520977451">
    <w:abstractNumId w:val="41"/>
  </w:num>
  <w:num w:numId="30" w16cid:durableId="1517034158">
    <w:abstractNumId w:val="28"/>
  </w:num>
  <w:num w:numId="31" w16cid:durableId="1345865651">
    <w:abstractNumId w:val="31"/>
  </w:num>
  <w:num w:numId="32" w16cid:durableId="311371407">
    <w:abstractNumId w:val="44"/>
  </w:num>
  <w:num w:numId="33" w16cid:durableId="1895193062">
    <w:abstractNumId w:val="6"/>
  </w:num>
  <w:num w:numId="34" w16cid:durableId="1680623220">
    <w:abstractNumId w:val="8"/>
  </w:num>
  <w:num w:numId="35" w16cid:durableId="1239943464">
    <w:abstractNumId w:val="37"/>
  </w:num>
  <w:num w:numId="36" w16cid:durableId="1322393449">
    <w:abstractNumId w:val="13"/>
  </w:num>
  <w:num w:numId="37" w16cid:durableId="1593779725">
    <w:abstractNumId w:val="43"/>
  </w:num>
  <w:num w:numId="38" w16cid:durableId="834880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5577168">
    <w:abstractNumId w:val="19"/>
  </w:num>
  <w:num w:numId="40" w16cid:durableId="1726374016">
    <w:abstractNumId w:val="22"/>
  </w:num>
  <w:num w:numId="41" w16cid:durableId="1417748976">
    <w:abstractNumId w:val="25"/>
  </w:num>
  <w:num w:numId="42" w16cid:durableId="1058554671">
    <w:abstractNumId w:val="11"/>
  </w:num>
  <w:num w:numId="43" w16cid:durableId="1790199763">
    <w:abstractNumId w:val="12"/>
  </w:num>
  <w:num w:numId="44" w16cid:durableId="756098847">
    <w:abstractNumId w:val="20"/>
  </w:num>
  <w:num w:numId="45" w16cid:durableId="1413116646">
    <w:abstractNumId w:val="18"/>
  </w:num>
  <w:num w:numId="46" w16cid:durableId="114099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3378C"/>
    <w:rsid w:val="000367AC"/>
    <w:rsid w:val="000420A8"/>
    <w:rsid w:val="00044001"/>
    <w:rsid w:val="00050B99"/>
    <w:rsid w:val="00057520"/>
    <w:rsid w:val="00085036"/>
    <w:rsid w:val="00091A19"/>
    <w:rsid w:val="000951DA"/>
    <w:rsid w:val="000C13CC"/>
    <w:rsid w:val="000C6DC0"/>
    <w:rsid w:val="000D162B"/>
    <w:rsid w:val="000D312D"/>
    <w:rsid w:val="000D37F5"/>
    <w:rsid w:val="000E5D16"/>
    <w:rsid w:val="000E6697"/>
    <w:rsid w:val="00117D8E"/>
    <w:rsid w:val="00134E29"/>
    <w:rsid w:val="001378DB"/>
    <w:rsid w:val="00142492"/>
    <w:rsid w:val="00147EE9"/>
    <w:rsid w:val="0016694A"/>
    <w:rsid w:val="0017117B"/>
    <w:rsid w:val="001853F0"/>
    <w:rsid w:val="00185592"/>
    <w:rsid w:val="0019033B"/>
    <w:rsid w:val="00191D8A"/>
    <w:rsid w:val="00192486"/>
    <w:rsid w:val="00193694"/>
    <w:rsid w:val="00196C3B"/>
    <w:rsid w:val="001B3C79"/>
    <w:rsid w:val="001B3CD5"/>
    <w:rsid w:val="001F5146"/>
    <w:rsid w:val="001F5AF3"/>
    <w:rsid w:val="0020487B"/>
    <w:rsid w:val="00210C63"/>
    <w:rsid w:val="00213DD6"/>
    <w:rsid w:val="00237AD5"/>
    <w:rsid w:val="00254830"/>
    <w:rsid w:val="00261F16"/>
    <w:rsid w:val="00270E21"/>
    <w:rsid w:val="0027795F"/>
    <w:rsid w:val="00280A75"/>
    <w:rsid w:val="00283792"/>
    <w:rsid w:val="002852C5"/>
    <w:rsid w:val="00285C02"/>
    <w:rsid w:val="00286513"/>
    <w:rsid w:val="002937B0"/>
    <w:rsid w:val="002A772E"/>
    <w:rsid w:val="002B082A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066"/>
    <w:rsid w:val="00312EC2"/>
    <w:rsid w:val="00315CB1"/>
    <w:rsid w:val="00316A49"/>
    <w:rsid w:val="00321FC8"/>
    <w:rsid w:val="003261A3"/>
    <w:rsid w:val="003338F6"/>
    <w:rsid w:val="00343A0B"/>
    <w:rsid w:val="003441BC"/>
    <w:rsid w:val="00381582"/>
    <w:rsid w:val="00387543"/>
    <w:rsid w:val="00387546"/>
    <w:rsid w:val="003A43C9"/>
    <w:rsid w:val="003A4C73"/>
    <w:rsid w:val="003C07ED"/>
    <w:rsid w:val="003C1733"/>
    <w:rsid w:val="003D1A8F"/>
    <w:rsid w:val="003E0629"/>
    <w:rsid w:val="0042030C"/>
    <w:rsid w:val="00423021"/>
    <w:rsid w:val="00425CD7"/>
    <w:rsid w:val="004309DF"/>
    <w:rsid w:val="004412E2"/>
    <w:rsid w:val="0044177A"/>
    <w:rsid w:val="004678DB"/>
    <w:rsid w:val="0048067B"/>
    <w:rsid w:val="004825D1"/>
    <w:rsid w:val="00483FD6"/>
    <w:rsid w:val="004850ED"/>
    <w:rsid w:val="00491887"/>
    <w:rsid w:val="00492C85"/>
    <w:rsid w:val="004A0878"/>
    <w:rsid w:val="004A450E"/>
    <w:rsid w:val="004A5C0D"/>
    <w:rsid w:val="004A7EA4"/>
    <w:rsid w:val="004C782D"/>
    <w:rsid w:val="004D171B"/>
    <w:rsid w:val="004D34DB"/>
    <w:rsid w:val="004E1920"/>
    <w:rsid w:val="004E43C9"/>
    <w:rsid w:val="004F2C6C"/>
    <w:rsid w:val="004F66E6"/>
    <w:rsid w:val="005010BF"/>
    <w:rsid w:val="00504E5D"/>
    <w:rsid w:val="005103F3"/>
    <w:rsid w:val="00513BE3"/>
    <w:rsid w:val="005203CD"/>
    <w:rsid w:val="005217B7"/>
    <w:rsid w:val="005229BE"/>
    <w:rsid w:val="005303C5"/>
    <w:rsid w:val="0053756E"/>
    <w:rsid w:val="00547C58"/>
    <w:rsid w:val="00552A90"/>
    <w:rsid w:val="0057300D"/>
    <w:rsid w:val="005B653F"/>
    <w:rsid w:val="005B6CE7"/>
    <w:rsid w:val="005C3DF2"/>
    <w:rsid w:val="005F0A32"/>
    <w:rsid w:val="00603CA0"/>
    <w:rsid w:val="0060741C"/>
    <w:rsid w:val="00607841"/>
    <w:rsid w:val="006170BC"/>
    <w:rsid w:val="0062750D"/>
    <w:rsid w:val="006440EA"/>
    <w:rsid w:val="0064518B"/>
    <w:rsid w:val="00650D32"/>
    <w:rsid w:val="00654F80"/>
    <w:rsid w:val="006606ED"/>
    <w:rsid w:val="006756F4"/>
    <w:rsid w:val="00696F2F"/>
    <w:rsid w:val="006A1F39"/>
    <w:rsid w:val="006B07D2"/>
    <w:rsid w:val="006B212C"/>
    <w:rsid w:val="006C076C"/>
    <w:rsid w:val="006D39F9"/>
    <w:rsid w:val="006D4766"/>
    <w:rsid w:val="006D4C3F"/>
    <w:rsid w:val="006D5151"/>
    <w:rsid w:val="006E2FAA"/>
    <w:rsid w:val="006E7852"/>
    <w:rsid w:val="006F07E8"/>
    <w:rsid w:val="006F221F"/>
    <w:rsid w:val="006F7E68"/>
    <w:rsid w:val="00705011"/>
    <w:rsid w:val="00715A3D"/>
    <w:rsid w:val="007217F7"/>
    <w:rsid w:val="00723938"/>
    <w:rsid w:val="007310EF"/>
    <w:rsid w:val="0073340B"/>
    <w:rsid w:val="0073743D"/>
    <w:rsid w:val="00754241"/>
    <w:rsid w:val="007547CA"/>
    <w:rsid w:val="007709F8"/>
    <w:rsid w:val="007827C0"/>
    <w:rsid w:val="00783F4B"/>
    <w:rsid w:val="007940D5"/>
    <w:rsid w:val="007962D5"/>
    <w:rsid w:val="00797B73"/>
    <w:rsid w:val="007B0131"/>
    <w:rsid w:val="007B4FB2"/>
    <w:rsid w:val="007C67E7"/>
    <w:rsid w:val="007F112A"/>
    <w:rsid w:val="007F1D34"/>
    <w:rsid w:val="007F3621"/>
    <w:rsid w:val="007F71B6"/>
    <w:rsid w:val="008114B2"/>
    <w:rsid w:val="00824352"/>
    <w:rsid w:val="008301C2"/>
    <w:rsid w:val="008337DC"/>
    <w:rsid w:val="00833C7F"/>
    <w:rsid w:val="00835264"/>
    <w:rsid w:val="00845893"/>
    <w:rsid w:val="0085632E"/>
    <w:rsid w:val="0086445F"/>
    <w:rsid w:val="00876DC2"/>
    <w:rsid w:val="00890344"/>
    <w:rsid w:val="00894928"/>
    <w:rsid w:val="008A7CD2"/>
    <w:rsid w:val="008B3F86"/>
    <w:rsid w:val="008B5F20"/>
    <w:rsid w:val="008D10EC"/>
    <w:rsid w:val="008E525A"/>
    <w:rsid w:val="008E6951"/>
    <w:rsid w:val="008E742E"/>
    <w:rsid w:val="008F3FE2"/>
    <w:rsid w:val="00900375"/>
    <w:rsid w:val="0090098C"/>
    <w:rsid w:val="00901E22"/>
    <w:rsid w:val="009105BE"/>
    <w:rsid w:val="00911F30"/>
    <w:rsid w:val="00931216"/>
    <w:rsid w:val="00935F2D"/>
    <w:rsid w:val="009473AD"/>
    <w:rsid w:val="00962F9D"/>
    <w:rsid w:val="00967C67"/>
    <w:rsid w:val="0099492D"/>
    <w:rsid w:val="00996FEA"/>
    <w:rsid w:val="009975D4"/>
    <w:rsid w:val="009A014E"/>
    <w:rsid w:val="009B0B2D"/>
    <w:rsid w:val="009B6C41"/>
    <w:rsid w:val="009B717C"/>
    <w:rsid w:val="009D1517"/>
    <w:rsid w:val="009E1CBD"/>
    <w:rsid w:val="009E53B6"/>
    <w:rsid w:val="009F5570"/>
    <w:rsid w:val="00A05F56"/>
    <w:rsid w:val="00A0695C"/>
    <w:rsid w:val="00A223F4"/>
    <w:rsid w:val="00A30635"/>
    <w:rsid w:val="00A30E1D"/>
    <w:rsid w:val="00A372CB"/>
    <w:rsid w:val="00A45160"/>
    <w:rsid w:val="00A46038"/>
    <w:rsid w:val="00A83253"/>
    <w:rsid w:val="00A8332D"/>
    <w:rsid w:val="00A833C9"/>
    <w:rsid w:val="00AA154C"/>
    <w:rsid w:val="00AA385D"/>
    <w:rsid w:val="00AB5E46"/>
    <w:rsid w:val="00AC3184"/>
    <w:rsid w:val="00AC51C1"/>
    <w:rsid w:val="00AC56D0"/>
    <w:rsid w:val="00AD4486"/>
    <w:rsid w:val="00AD6DF2"/>
    <w:rsid w:val="00AE2A0C"/>
    <w:rsid w:val="00AE419F"/>
    <w:rsid w:val="00AE6380"/>
    <w:rsid w:val="00AE7CFE"/>
    <w:rsid w:val="00AF32D3"/>
    <w:rsid w:val="00AF55CF"/>
    <w:rsid w:val="00AF793E"/>
    <w:rsid w:val="00B22664"/>
    <w:rsid w:val="00B22D27"/>
    <w:rsid w:val="00B2361D"/>
    <w:rsid w:val="00B31639"/>
    <w:rsid w:val="00B4204C"/>
    <w:rsid w:val="00B420B5"/>
    <w:rsid w:val="00B47024"/>
    <w:rsid w:val="00B50C3E"/>
    <w:rsid w:val="00B56445"/>
    <w:rsid w:val="00B61061"/>
    <w:rsid w:val="00B74C1B"/>
    <w:rsid w:val="00B82864"/>
    <w:rsid w:val="00B86211"/>
    <w:rsid w:val="00B86330"/>
    <w:rsid w:val="00B94E4E"/>
    <w:rsid w:val="00B95E85"/>
    <w:rsid w:val="00BA722F"/>
    <w:rsid w:val="00BC013C"/>
    <w:rsid w:val="00BC77C5"/>
    <w:rsid w:val="00BE77B4"/>
    <w:rsid w:val="00BF3109"/>
    <w:rsid w:val="00C010D2"/>
    <w:rsid w:val="00C03B82"/>
    <w:rsid w:val="00C11104"/>
    <w:rsid w:val="00C11FAA"/>
    <w:rsid w:val="00C17BFE"/>
    <w:rsid w:val="00C24E08"/>
    <w:rsid w:val="00C25B45"/>
    <w:rsid w:val="00C3042D"/>
    <w:rsid w:val="00C4497F"/>
    <w:rsid w:val="00C45D11"/>
    <w:rsid w:val="00C72263"/>
    <w:rsid w:val="00C7276A"/>
    <w:rsid w:val="00C857D0"/>
    <w:rsid w:val="00C904E7"/>
    <w:rsid w:val="00C910E6"/>
    <w:rsid w:val="00C912A9"/>
    <w:rsid w:val="00C91F9A"/>
    <w:rsid w:val="00C95341"/>
    <w:rsid w:val="00CA1888"/>
    <w:rsid w:val="00CA18E7"/>
    <w:rsid w:val="00CA6CC4"/>
    <w:rsid w:val="00CB3F42"/>
    <w:rsid w:val="00CC2725"/>
    <w:rsid w:val="00CC462B"/>
    <w:rsid w:val="00CC51C1"/>
    <w:rsid w:val="00CD0E95"/>
    <w:rsid w:val="00CD3E20"/>
    <w:rsid w:val="00CE4C23"/>
    <w:rsid w:val="00CE7F3E"/>
    <w:rsid w:val="00CF496C"/>
    <w:rsid w:val="00CF5B75"/>
    <w:rsid w:val="00D046B2"/>
    <w:rsid w:val="00D116F6"/>
    <w:rsid w:val="00D14AED"/>
    <w:rsid w:val="00D17F85"/>
    <w:rsid w:val="00D337A3"/>
    <w:rsid w:val="00D36C07"/>
    <w:rsid w:val="00D442DD"/>
    <w:rsid w:val="00D6556B"/>
    <w:rsid w:val="00D70530"/>
    <w:rsid w:val="00D76257"/>
    <w:rsid w:val="00D805CA"/>
    <w:rsid w:val="00D85726"/>
    <w:rsid w:val="00D935DA"/>
    <w:rsid w:val="00DB7119"/>
    <w:rsid w:val="00DC2C44"/>
    <w:rsid w:val="00DC3A73"/>
    <w:rsid w:val="00DC450E"/>
    <w:rsid w:val="00DC515A"/>
    <w:rsid w:val="00DD715A"/>
    <w:rsid w:val="00DF0FA6"/>
    <w:rsid w:val="00E0113A"/>
    <w:rsid w:val="00E05B8C"/>
    <w:rsid w:val="00E07B1D"/>
    <w:rsid w:val="00E21A1B"/>
    <w:rsid w:val="00E31BD6"/>
    <w:rsid w:val="00E32EAC"/>
    <w:rsid w:val="00E35408"/>
    <w:rsid w:val="00E40E2A"/>
    <w:rsid w:val="00E469CF"/>
    <w:rsid w:val="00E50BA4"/>
    <w:rsid w:val="00E65944"/>
    <w:rsid w:val="00E71A93"/>
    <w:rsid w:val="00E7562E"/>
    <w:rsid w:val="00E77BF2"/>
    <w:rsid w:val="00E82DD9"/>
    <w:rsid w:val="00E96D5A"/>
    <w:rsid w:val="00EA16D1"/>
    <w:rsid w:val="00EA535B"/>
    <w:rsid w:val="00EB0484"/>
    <w:rsid w:val="00EB1513"/>
    <w:rsid w:val="00ED36B1"/>
    <w:rsid w:val="00EE59C6"/>
    <w:rsid w:val="00EF55AA"/>
    <w:rsid w:val="00F04565"/>
    <w:rsid w:val="00F04EE1"/>
    <w:rsid w:val="00F1405D"/>
    <w:rsid w:val="00F22E7E"/>
    <w:rsid w:val="00F24945"/>
    <w:rsid w:val="00F319A0"/>
    <w:rsid w:val="00F34AB2"/>
    <w:rsid w:val="00F36AAA"/>
    <w:rsid w:val="00F56783"/>
    <w:rsid w:val="00F62E3F"/>
    <w:rsid w:val="00F64B83"/>
    <w:rsid w:val="00F64ED2"/>
    <w:rsid w:val="00F75724"/>
    <w:rsid w:val="00F8187E"/>
    <w:rsid w:val="00F875EA"/>
    <w:rsid w:val="00F90EAA"/>
    <w:rsid w:val="00F928DC"/>
    <w:rsid w:val="00F9338B"/>
    <w:rsid w:val="00F94464"/>
    <w:rsid w:val="00F94C08"/>
    <w:rsid w:val="00FA24D7"/>
    <w:rsid w:val="00FB578D"/>
    <w:rsid w:val="00FB5FC2"/>
    <w:rsid w:val="00FC2CB1"/>
    <w:rsid w:val="00FE388D"/>
    <w:rsid w:val="00FE5B76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9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bank.pl/inicjatywa-ele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7</cp:revision>
  <cp:lastPrinted>2022-10-17T14:38:00Z</cp:lastPrinted>
  <dcterms:created xsi:type="dcterms:W3CDTF">2022-12-15T10:43:00Z</dcterms:created>
  <dcterms:modified xsi:type="dcterms:W3CDTF">2023-01-04T11:04:00Z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2023-01-04T11:04:06Z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a43236db-5cf4-42ef-9bc1-1a681dbd035d</vt:lpwstr>
  </property>
  <property fmtid="{D5CDD505-2E9C-101B-9397-08002B2CF9AE}" pid="8" name="MSIP_Label_8935033d-f0de-4101-8e6d-04bb28726662_ContentBits">
    <vt:lpwstr>2</vt:lpwstr>
  </property>
</Properties>
</file>