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4551" w14:textId="77777777" w:rsidR="00BE0CCF" w:rsidRPr="008D140C" w:rsidRDefault="00BE0CCF">
      <w:pPr>
        <w:rPr>
          <w:rFonts w:ascii="Arial" w:hAnsi="Arial" w:cs="Arial"/>
          <w:color w:val="000000"/>
        </w:rPr>
      </w:pPr>
    </w:p>
    <w:p w14:paraId="7A822BC9" w14:textId="77777777" w:rsidR="005C0E14" w:rsidRPr="008D140C" w:rsidRDefault="005C0E14">
      <w:pPr>
        <w:rPr>
          <w:rFonts w:ascii="Arial" w:hAnsi="Arial" w:cs="Arial"/>
          <w:color w:val="000000"/>
        </w:rPr>
      </w:pPr>
    </w:p>
    <w:p w14:paraId="6ED6A57E" w14:textId="77777777" w:rsidR="002279BC" w:rsidRPr="008D140C" w:rsidRDefault="000B3761" w:rsidP="0093680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4"/>
          <w:szCs w:val="14"/>
        </w:rPr>
      </w:pPr>
      <w:r w:rsidRPr="008D140C">
        <w:rPr>
          <w:rFonts w:ascii="Arial" w:hAnsi="Arial" w:cs="Arial"/>
          <w:color w:val="000000"/>
        </w:rPr>
        <w:tab/>
      </w:r>
    </w:p>
    <w:p w14:paraId="3B97CD22" w14:textId="77777777" w:rsidR="0093680F" w:rsidRPr="00622041" w:rsidRDefault="004D3BDD" w:rsidP="0093680F">
      <w:pPr>
        <w:autoSpaceDE w:val="0"/>
        <w:autoSpaceDN w:val="0"/>
        <w:adjustRightInd w:val="0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622041">
        <w:rPr>
          <w:rFonts w:ascii="Arial" w:hAnsi="Arial" w:cs="Arial"/>
          <w:caps/>
          <w:color w:val="000000"/>
          <w:sz w:val="22"/>
          <w:szCs w:val="22"/>
        </w:rPr>
        <w:t>Dyspozycja</w:t>
      </w:r>
    </w:p>
    <w:p w14:paraId="49A55CA7" w14:textId="77777777" w:rsidR="004D3BDD" w:rsidRPr="00622041" w:rsidRDefault="008D140C" w:rsidP="00C507AA">
      <w:pPr>
        <w:pStyle w:val="Tytu"/>
        <w:rPr>
          <w:b w:val="0"/>
          <w:bCs w:val="0"/>
          <w:color w:val="000000"/>
          <w:sz w:val="22"/>
          <w:szCs w:val="22"/>
        </w:rPr>
      </w:pPr>
      <w:r w:rsidRPr="00622041">
        <w:rPr>
          <w:b w:val="0"/>
          <w:bCs w:val="0"/>
          <w:color w:val="000000"/>
          <w:sz w:val="22"/>
          <w:szCs w:val="22"/>
        </w:rPr>
        <w:t>udostępnienia</w:t>
      </w:r>
      <w:r w:rsidR="004223BA" w:rsidRPr="00622041">
        <w:rPr>
          <w:b w:val="0"/>
          <w:bCs w:val="0"/>
          <w:color w:val="000000"/>
          <w:sz w:val="22"/>
          <w:szCs w:val="22"/>
        </w:rPr>
        <w:t xml:space="preserve"> usługi konsolidacji </w:t>
      </w:r>
      <w:r w:rsidRPr="00622041">
        <w:rPr>
          <w:b w:val="0"/>
          <w:bCs w:val="0"/>
          <w:color w:val="000000"/>
          <w:sz w:val="22"/>
          <w:szCs w:val="22"/>
        </w:rPr>
        <w:t xml:space="preserve">sald </w:t>
      </w:r>
    </w:p>
    <w:p w14:paraId="67E0618F" w14:textId="77777777" w:rsidR="00C507AA" w:rsidRPr="008D140C" w:rsidRDefault="00C507AA" w:rsidP="00C507AA">
      <w:pPr>
        <w:rPr>
          <w:rFonts w:ascii="Arial" w:hAnsi="Arial" w:cs="Arial"/>
          <w:color w:val="000000"/>
          <w:sz w:val="8"/>
          <w:szCs w:val="8"/>
        </w:rPr>
      </w:pPr>
    </w:p>
    <w:p w14:paraId="260BA48F" w14:textId="77777777" w:rsidR="008D140C" w:rsidRDefault="008D140C" w:rsidP="00C507AA">
      <w:pPr>
        <w:rPr>
          <w:rFonts w:ascii="Arial" w:hAnsi="Arial" w:cs="Arial"/>
          <w:color w:val="000000"/>
          <w:sz w:val="10"/>
          <w:szCs w:val="10"/>
        </w:rPr>
      </w:pPr>
    </w:p>
    <w:p w14:paraId="27B4D439" w14:textId="77777777" w:rsidR="00C507AA" w:rsidRPr="008D140C" w:rsidRDefault="00C507AA" w:rsidP="00C507AA">
      <w:pPr>
        <w:rPr>
          <w:rFonts w:ascii="Arial" w:hAnsi="Arial" w:cs="Arial"/>
          <w:color w:val="000000"/>
          <w:sz w:val="10"/>
          <w:szCs w:val="10"/>
        </w:rPr>
      </w:pPr>
      <w:r w:rsidRPr="008D140C">
        <w:rPr>
          <w:rFonts w:ascii="Arial" w:hAnsi="Arial" w:cs="Arial"/>
          <w:color w:val="000000"/>
          <w:sz w:val="10"/>
          <w:szCs w:val="10"/>
        </w:rPr>
        <w:t xml:space="preserve">Proszę zaznaczyć znakiem </w:t>
      </w:r>
      <w:r w:rsidRPr="008D140C">
        <w:rPr>
          <w:rFonts w:ascii="Arial" w:hAnsi="Arial" w:cs="Arial"/>
          <w:color w:val="000000"/>
          <w:sz w:val="10"/>
          <w:szCs w:val="10"/>
        </w:rPr>
        <w:sym w:font="Wingdings" w:char="F0FD"/>
      </w:r>
      <w:r w:rsidRPr="008D140C">
        <w:rPr>
          <w:rFonts w:ascii="Arial" w:hAnsi="Arial" w:cs="Arial"/>
          <w:color w:val="000000"/>
          <w:sz w:val="10"/>
          <w:szCs w:val="10"/>
        </w:rPr>
        <w:t xml:space="preserve"> właściwe pola.  </w:t>
      </w:r>
    </w:p>
    <w:tbl>
      <w:tblPr>
        <w:tblW w:w="0" w:type="auto"/>
        <w:tblInd w:w="192" w:type="dxa"/>
        <w:tblLook w:val="01E0" w:firstRow="1" w:lastRow="1" w:firstColumn="1" w:lastColumn="1" w:noHBand="0" w:noVBand="0"/>
      </w:tblPr>
      <w:tblGrid>
        <w:gridCol w:w="3294"/>
        <w:gridCol w:w="7206"/>
      </w:tblGrid>
      <w:tr w:rsidR="00A4574D" w:rsidRPr="008D140C" w14:paraId="75077984" w14:textId="77777777" w:rsidTr="00E23CDF">
        <w:trPr>
          <w:trHeight w:hRule="exact" w:val="284"/>
        </w:trPr>
        <w:tc>
          <w:tcPr>
            <w:tcW w:w="1065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  <w:vAlign w:val="center"/>
          </w:tcPr>
          <w:p w14:paraId="5F3E531D" w14:textId="77777777" w:rsidR="008264AC" w:rsidRPr="008D140C" w:rsidRDefault="00A4574D" w:rsidP="00D31A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14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Dane </w:t>
            </w:r>
            <w:r w:rsidR="008264AC" w:rsidRPr="008D14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</w:t>
            </w:r>
            <w:r w:rsidR="00E14648" w:rsidRPr="008D14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lient</w:t>
            </w:r>
            <w:r w:rsidR="00D31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E01464" w:rsidRPr="008D140C" w14:paraId="0E2A4156" w14:textId="77777777" w:rsidTr="00E23CDF">
        <w:trPr>
          <w:trHeight w:hRule="exact" w:val="284"/>
        </w:trPr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6E6E6"/>
            <w:vAlign w:val="center"/>
          </w:tcPr>
          <w:p w14:paraId="3ACDB211" w14:textId="77777777" w:rsidR="00A4574D" w:rsidRPr="008D140C" w:rsidRDefault="008264AC" w:rsidP="0093680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t>Nazwa</w:t>
            </w:r>
            <w:r w:rsidR="00815990" w:rsidRPr="008D140C">
              <w:rPr>
                <w:rFonts w:ascii="Arial" w:hAnsi="Arial" w:cs="Arial"/>
                <w:color w:val="000000"/>
                <w:sz w:val="15"/>
                <w:szCs w:val="15"/>
              </w:rPr>
              <w:t xml:space="preserve"> Klienta</w:t>
            </w:r>
          </w:p>
        </w:tc>
        <w:bookmarkStart w:id="0" w:name="Tekst2"/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0350C6C" w14:textId="77777777" w:rsidR="00A4574D" w:rsidRPr="008D140C" w:rsidRDefault="00E01464" w:rsidP="0093680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3533D" w:rsidRPr="008D140C">
              <w:rPr>
                <w:rFonts w:ascii="Arial" w:hAnsi="Arial" w:cs="Arial"/>
                <w:color w:val="000000"/>
                <w:sz w:val="15"/>
                <w:szCs w:val="15"/>
              </w:rPr>
              <w:t> </w:t>
            </w:r>
            <w:r w:rsidR="0043533D" w:rsidRPr="008D140C">
              <w:rPr>
                <w:rFonts w:ascii="Arial" w:hAnsi="Arial" w:cs="Arial"/>
                <w:color w:val="000000"/>
                <w:sz w:val="15"/>
                <w:szCs w:val="15"/>
              </w:rPr>
              <w:t> </w:t>
            </w:r>
            <w:r w:rsidR="0043533D" w:rsidRPr="008D140C">
              <w:rPr>
                <w:rFonts w:ascii="Arial" w:hAnsi="Arial" w:cs="Arial"/>
                <w:color w:val="000000"/>
                <w:sz w:val="15"/>
                <w:szCs w:val="15"/>
              </w:rPr>
              <w:t> </w:t>
            </w:r>
            <w:r w:rsidR="0043533D" w:rsidRPr="008D140C">
              <w:rPr>
                <w:rFonts w:ascii="Arial" w:hAnsi="Arial" w:cs="Arial"/>
                <w:color w:val="000000"/>
                <w:sz w:val="15"/>
                <w:szCs w:val="15"/>
              </w:rPr>
              <w:t> </w:t>
            </w:r>
            <w:r w:rsidR="0043533D" w:rsidRPr="008D140C">
              <w:rPr>
                <w:rFonts w:ascii="Arial" w:hAnsi="Arial" w:cs="Arial"/>
                <w:color w:val="000000"/>
                <w:sz w:val="15"/>
                <w:szCs w:val="15"/>
              </w:rPr>
              <w:t> </w:t>
            </w: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bookmarkEnd w:id="0"/>
          </w:p>
        </w:tc>
      </w:tr>
      <w:tr w:rsidR="00E01464" w:rsidRPr="008D140C" w14:paraId="4B96CB74" w14:textId="77777777" w:rsidTr="00E23CDF">
        <w:trPr>
          <w:trHeight w:hRule="exact" w:val="284"/>
        </w:trPr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193945" w14:textId="77777777" w:rsidR="00A4574D" w:rsidRPr="008D140C" w:rsidRDefault="009317B7" w:rsidP="0093680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t xml:space="preserve">Numer </w:t>
            </w:r>
            <w:r w:rsidR="00C507AA" w:rsidRPr="008D140C">
              <w:rPr>
                <w:rFonts w:ascii="Arial" w:hAnsi="Arial" w:cs="Arial"/>
                <w:color w:val="000000"/>
                <w:sz w:val="15"/>
                <w:szCs w:val="15"/>
              </w:rPr>
              <w:t>REGON</w:t>
            </w:r>
          </w:p>
        </w:tc>
        <w:bookmarkStart w:id="1" w:name="Tekst3"/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10B6B051" w14:textId="77777777" w:rsidR="00A4574D" w:rsidRPr="008D140C" w:rsidRDefault="00C81B40" w:rsidP="0093680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3533D" w:rsidRPr="008D140C">
              <w:rPr>
                <w:rFonts w:ascii="Arial" w:hAnsi="Arial" w:cs="Arial"/>
                <w:color w:val="000000"/>
                <w:sz w:val="15"/>
                <w:szCs w:val="15"/>
              </w:rPr>
              <w:t> </w:t>
            </w:r>
            <w:r w:rsidR="0043533D" w:rsidRPr="008D140C">
              <w:rPr>
                <w:rFonts w:ascii="Arial" w:hAnsi="Arial" w:cs="Arial"/>
                <w:color w:val="000000"/>
                <w:sz w:val="15"/>
                <w:szCs w:val="15"/>
              </w:rPr>
              <w:t> </w:t>
            </w:r>
            <w:r w:rsidR="0043533D" w:rsidRPr="008D140C">
              <w:rPr>
                <w:rFonts w:ascii="Arial" w:hAnsi="Arial" w:cs="Arial"/>
                <w:color w:val="000000"/>
                <w:sz w:val="15"/>
                <w:szCs w:val="15"/>
              </w:rPr>
              <w:t> </w:t>
            </w:r>
            <w:r w:rsidR="0043533D" w:rsidRPr="008D140C">
              <w:rPr>
                <w:rFonts w:ascii="Arial" w:hAnsi="Arial" w:cs="Arial"/>
                <w:color w:val="000000"/>
                <w:sz w:val="15"/>
                <w:szCs w:val="15"/>
              </w:rPr>
              <w:t> </w:t>
            </w:r>
            <w:r w:rsidR="0043533D" w:rsidRPr="008D140C">
              <w:rPr>
                <w:rFonts w:ascii="Arial" w:hAnsi="Arial" w:cs="Arial"/>
                <w:color w:val="000000"/>
                <w:sz w:val="15"/>
                <w:szCs w:val="15"/>
              </w:rPr>
              <w:t> </w:t>
            </w: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bookmarkEnd w:id="1"/>
          </w:p>
        </w:tc>
      </w:tr>
    </w:tbl>
    <w:p w14:paraId="7307FDBB" w14:textId="77777777" w:rsidR="00A4574D" w:rsidRPr="008D140C" w:rsidRDefault="00A4574D" w:rsidP="0093680F">
      <w:pPr>
        <w:rPr>
          <w:rFonts w:ascii="Arial" w:hAnsi="Arial" w:cs="Arial"/>
          <w:color w:val="000000"/>
          <w:sz w:val="8"/>
          <w:szCs w:val="8"/>
        </w:rPr>
      </w:pPr>
    </w:p>
    <w:tbl>
      <w:tblPr>
        <w:tblW w:w="10773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5"/>
        <w:gridCol w:w="2864"/>
        <w:gridCol w:w="2494"/>
      </w:tblGrid>
      <w:tr w:rsidR="00516749" w:rsidRPr="008D140C" w14:paraId="187ED119" w14:textId="77777777" w:rsidTr="00E23CDF">
        <w:trPr>
          <w:trHeight w:val="348"/>
        </w:trPr>
        <w:tc>
          <w:tcPr>
            <w:tcW w:w="10773" w:type="dxa"/>
            <w:gridSpan w:val="3"/>
            <w:tcBorders>
              <w:top w:val="nil"/>
              <w:bottom w:val="nil"/>
            </w:tcBorders>
            <w:vAlign w:val="center"/>
          </w:tcPr>
          <w:p w14:paraId="149DE420" w14:textId="77777777" w:rsidR="00E23CDF" w:rsidRDefault="00E23CDF" w:rsidP="004D3BDD">
            <w:pPr>
              <w:suppressAutoHyphens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08455667" w14:textId="77777777" w:rsidR="00E23CDF" w:rsidRDefault="00E23CDF" w:rsidP="004D3BDD">
            <w:pPr>
              <w:suppressAutoHyphens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tbl>
            <w:tblPr>
              <w:tblW w:w="10684" w:type="dxa"/>
              <w:tblLayout w:type="fixed"/>
              <w:tblLook w:val="01E0" w:firstRow="1" w:lastRow="1" w:firstColumn="1" w:lastColumn="1" w:noHBand="0" w:noVBand="0"/>
            </w:tblPr>
            <w:tblGrid>
              <w:gridCol w:w="2148"/>
              <w:gridCol w:w="684"/>
              <w:gridCol w:w="1487"/>
              <w:gridCol w:w="709"/>
              <w:gridCol w:w="1241"/>
              <w:gridCol w:w="1586"/>
              <w:gridCol w:w="85"/>
              <w:gridCol w:w="2744"/>
            </w:tblGrid>
            <w:tr w:rsidR="00E23CDF" w:rsidRPr="00A6144E" w14:paraId="791D3179" w14:textId="77777777" w:rsidTr="00E23CDF">
              <w:trPr>
                <w:trHeight w:val="227"/>
              </w:trPr>
              <w:tc>
                <w:tcPr>
                  <w:tcW w:w="500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  <w:vAlign w:val="center"/>
                </w:tcPr>
                <w:p w14:paraId="6710586D" w14:textId="77777777" w:rsidR="00E23CDF" w:rsidRPr="00A6144E" w:rsidRDefault="00E23CDF" w:rsidP="00757D26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6315E8">
                    <w:rPr>
                      <w:rFonts w:ascii="Arial" w:hAnsi="Arial" w:cs="Arial"/>
                      <w:b/>
                      <w:bCs/>
                      <w:color w:val="FFFFFF"/>
                      <w:sz w:val="15"/>
                      <w:szCs w:val="15"/>
                    </w:rPr>
                    <w:t>Specyfika wnioskowanego produktu:</w:t>
                  </w:r>
                </w:p>
              </w:tc>
            </w:tr>
            <w:tr w:rsidR="00E23CDF" w:rsidRPr="008D140C" w14:paraId="5A332C73" w14:textId="77777777" w:rsidTr="00E23CDF">
              <w:trPr>
                <w:trHeight w:val="227"/>
              </w:trPr>
              <w:tc>
                <w:tcPr>
                  <w:tcW w:w="10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FFFFFF"/>
                  <w:tcMar>
                    <w:right w:w="0" w:type="dxa"/>
                  </w:tcMar>
                  <w:vAlign w:val="center"/>
                </w:tcPr>
                <w:p w14:paraId="6FFFF407" w14:textId="77777777" w:rsidR="00E23CDF" w:rsidRPr="008D140C" w:rsidRDefault="00E23CDF" w:rsidP="00757D26">
                  <w:pPr>
                    <w:tabs>
                      <w:tab w:val="left" w:pos="-1101"/>
                    </w:tabs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Typ konsolidacji</w:t>
                  </w:r>
                </w:p>
              </w:tc>
              <w:tc>
                <w:tcPr>
                  <w:tcW w:w="134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FFFFFF"/>
                  <w:vAlign w:val="center"/>
                </w:tcPr>
                <w:p w14:paraId="4941A129" w14:textId="77777777" w:rsidR="004A70E6" w:rsidRPr="008D140C" w:rsidRDefault="00E23CDF" w:rsidP="00757D26">
                  <w:pPr>
                    <w:tabs>
                      <w:tab w:val="left" w:pos="-1101"/>
                    </w:tabs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begin">
                      <w:ffData>
                        <w:name w:val="Wybó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instrText xml:space="preserve"> FORMCHECKBOX </w:instrTex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end"/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Konsolidacja rachunków ze zwrotem</w:t>
                  </w:r>
                </w:p>
              </w:tc>
              <w:tc>
                <w:tcPr>
                  <w:tcW w:w="2647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FFFFFF"/>
                  <w:vAlign w:val="center"/>
                </w:tcPr>
                <w:p w14:paraId="75D07C08" w14:textId="77777777" w:rsidR="00E23CDF" w:rsidRPr="008D140C" w:rsidRDefault="00E23CDF" w:rsidP="00757D26">
                  <w:pPr>
                    <w:tabs>
                      <w:tab w:val="left" w:pos="-1101"/>
                    </w:tabs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begin">
                      <w:ffData>
                        <w:name w:val="Wybó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instrText xml:space="preserve"> FORMCHECKBOX </w:instrTex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end"/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Konsolidacja rachunków 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bez zwrotu</w:t>
                  </w:r>
                </w:p>
              </w:tc>
            </w:tr>
            <w:tr w:rsidR="00FD408B" w:rsidRPr="008D140C" w14:paraId="008560BF" w14:textId="77777777" w:rsidTr="00FD408B">
              <w:trPr>
                <w:trHeight w:val="227"/>
              </w:trPr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pct10" w:color="auto" w:fill="auto"/>
                  <w:tcMar>
                    <w:right w:w="0" w:type="dxa"/>
                  </w:tcMar>
                  <w:vAlign w:val="center"/>
                </w:tcPr>
                <w:p w14:paraId="783D2731" w14:textId="77777777" w:rsidR="00FD408B" w:rsidRPr="008D140C" w:rsidRDefault="00FD408B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Częstotliwość konsolidacji</w:t>
                  </w:r>
                </w:p>
              </w:tc>
              <w:tc>
                <w:tcPr>
                  <w:tcW w:w="134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pct10" w:color="auto" w:fill="auto"/>
                  <w:vAlign w:val="center"/>
                </w:tcPr>
                <w:p w14:paraId="5D1586D3" w14:textId="77777777" w:rsidR="00FD408B" w:rsidRPr="008D140C" w:rsidRDefault="00FD408B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begin">
                      <w:ffData>
                        <w:name w:val="Wybó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instrText xml:space="preserve"> FORMCHECKBOX </w:instrTex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end"/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Konsolidacja codzienna</w:t>
                  </w:r>
                  <w:r w:rsidR="00E57C8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w dni 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robocze</w:t>
                  </w:r>
                </w:p>
              </w:tc>
              <w:tc>
                <w:tcPr>
                  <w:tcW w:w="13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pct10" w:color="auto" w:fill="auto"/>
                  <w:vAlign w:val="center"/>
                </w:tcPr>
                <w:p w14:paraId="1DE22897" w14:textId="42B2EBA3" w:rsidR="00FD408B" w:rsidRPr="008D140C" w:rsidRDefault="00FD408B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begin">
                      <w:ffData>
                        <w:name w:val="Wybó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instrText xml:space="preserve"> FORMCHECKBOX </w:instrTex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end"/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Konsolidacja 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codzienna</w:t>
                  </w:r>
                  <w:r w:rsidR="007E286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w tym w dni wolne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13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pct10" w:color="auto" w:fill="auto"/>
                  <w:vAlign w:val="center"/>
                </w:tcPr>
                <w:p w14:paraId="083BFDD4" w14:textId="77777777" w:rsidR="00FD408B" w:rsidRPr="008D140C" w:rsidRDefault="00FD408B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begin">
                      <w:ffData>
                        <w:name w:val="Wybó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instrText xml:space="preserve"> FORMCHECKBOX </w:instrTex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end"/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Konsolidacja </w:t>
                  </w:r>
                  <w:r w:rsidR="000520E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codzienna </w:t>
                  </w:r>
                  <w:r w:rsidR="007E286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w dni robocze z pominięciem ostatniego dnia m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iesiąca     </w:t>
                  </w:r>
                </w:p>
              </w:tc>
            </w:tr>
            <w:tr w:rsidR="00E23CDF" w:rsidRPr="008D140C" w14:paraId="35A36B06" w14:textId="77777777" w:rsidTr="00E23CDF">
              <w:trPr>
                <w:trHeight w:val="227"/>
              </w:trPr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FFFFFF"/>
                  <w:tcMar>
                    <w:right w:w="0" w:type="dxa"/>
                  </w:tcMar>
                  <w:vAlign w:val="center"/>
                </w:tcPr>
                <w:p w14:paraId="17DD31BE" w14:textId="77777777" w:rsidR="00E23CDF" w:rsidRPr="008D140C" w:rsidRDefault="00E23CDF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Typ salda konsolidowanego</w:t>
                  </w:r>
                </w:p>
              </w:tc>
              <w:tc>
                <w:tcPr>
                  <w:tcW w:w="134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FFFFFF"/>
                  <w:vAlign w:val="center"/>
                </w:tcPr>
                <w:p w14:paraId="1BC9FBE7" w14:textId="77777777" w:rsidR="00E23CDF" w:rsidRPr="008D140C" w:rsidRDefault="00E23CDF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begin">
                      <w:ffData>
                        <w:name w:val="Wybó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instrText xml:space="preserve"> FORMCHECKBOX </w:instrTex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end"/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Saldo dodatnie</w:t>
                  </w:r>
                </w:p>
              </w:tc>
              <w:tc>
                <w:tcPr>
                  <w:tcW w:w="2647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FFFFFF"/>
                  <w:vAlign w:val="center"/>
                </w:tcPr>
                <w:p w14:paraId="2ED17C89" w14:textId="77777777" w:rsidR="00E23CDF" w:rsidRPr="008D140C" w:rsidRDefault="00E23CDF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begin">
                      <w:ffData>
                        <w:name w:val="Wybó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instrText xml:space="preserve"> FORMCHECKBOX </w:instrTex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end"/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Saldo ujemne oraz dodatnie</w:t>
                  </w:r>
                </w:p>
              </w:tc>
            </w:tr>
            <w:tr w:rsidR="00E23CDF" w:rsidRPr="008D140C" w14:paraId="11F88319" w14:textId="77777777" w:rsidTr="00E23CDF">
              <w:trPr>
                <w:trHeight w:val="227"/>
              </w:trPr>
              <w:tc>
                <w:tcPr>
                  <w:tcW w:w="5000" w:type="pct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tl2br w:val="nil"/>
                    <w:tr2bl w:val="nil"/>
                  </w:tcBorders>
                  <w:tcMar>
                    <w:right w:w="0" w:type="dxa"/>
                  </w:tcMar>
                  <w:vAlign w:val="center"/>
                </w:tcPr>
                <w:p w14:paraId="594D9FCE" w14:textId="77777777" w:rsidR="00E23CDF" w:rsidRPr="008D140C" w:rsidRDefault="00E23CDF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E23CDF" w:rsidRPr="008D140C" w14:paraId="5A472B77" w14:textId="77777777" w:rsidTr="00622041">
              <w:trPr>
                <w:trHeight w:val="227"/>
              </w:trPr>
              <w:tc>
                <w:tcPr>
                  <w:tcW w:w="132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pct10" w:color="auto" w:fill="FFFFFF"/>
                  <w:tcMar>
                    <w:right w:w="0" w:type="dxa"/>
                  </w:tcMar>
                  <w:vAlign w:val="center"/>
                </w:tcPr>
                <w:p w14:paraId="05CA00B8" w14:textId="77777777" w:rsidR="00E23CDF" w:rsidRPr="008D140C" w:rsidRDefault="00E23CDF" w:rsidP="00E23CDF">
                  <w:pPr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b/>
                      <w:color w:val="000000"/>
                      <w:sz w:val="15"/>
                      <w:szCs w:val="15"/>
                    </w:rPr>
                    <w:t>Typ rachunku w PLN</w:t>
                  </w:r>
                </w:p>
              </w:tc>
              <w:tc>
                <w:tcPr>
                  <w:tcW w:w="239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pct10" w:color="auto" w:fill="FFFFFF"/>
                  <w:vAlign w:val="center"/>
                </w:tcPr>
                <w:p w14:paraId="318A53E2" w14:textId="77777777" w:rsidR="00E23CDF" w:rsidRPr="008D140C" w:rsidRDefault="00E23CDF" w:rsidP="00E23CD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b/>
                      <w:color w:val="000000"/>
                      <w:sz w:val="15"/>
                      <w:szCs w:val="15"/>
                    </w:rPr>
                    <w:t>Numer rachunku w formacie NRB</w:t>
                  </w:r>
                </w:p>
              </w:tc>
              <w:tc>
                <w:tcPr>
                  <w:tcW w:w="12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pct10" w:color="auto" w:fill="FFFFFF"/>
                  <w:vAlign w:val="center"/>
                </w:tcPr>
                <w:p w14:paraId="22C0D20E" w14:textId="77777777" w:rsidR="00E23CDF" w:rsidRPr="008D140C" w:rsidRDefault="00E23CDF" w:rsidP="00E23CD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b/>
                      <w:color w:val="000000"/>
                      <w:sz w:val="15"/>
                      <w:szCs w:val="15"/>
                    </w:rPr>
                    <w:t>Rachunek powiązany z kredytem w rachunku bieżącym</w:t>
                  </w:r>
                </w:p>
              </w:tc>
            </w:tr>
            <w:tr w:rsidR="00E23CDF" w:rsidRPr="008D140C" w14:paraId="41BC6236" w14:textId="77777777" w:rsidTr="00622041">
              <w:trPr>
                <w:trHeight w:val="227"/>
              </w:trPr>
              <w:tc>
                <w:tcPr>
                  <w:tcW w:w="132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tcMar>
                    <w:right w:w="0" w:type="dxa"/>
                  </w:tcMar>
                  <w:vAlign w:val="center"/>
                </w:tcPr>
                <w:p w14:paraId="775B5FE6" w14:textId="77777777" w:rsidR="00E23CDF" w:rsidRPr="008D140C" w:rsidRDefault="00E23CDF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Rachunek główny konsolidujący</w:t>
                  </w:r>
                </w:p>
              </w:tc>
              <w:tc>
                <w:tcPr>
                  <w:tcW w:w="239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14:paraId="077AFB6F" w14:textId="77777777" w:rsidR="00E23CDF" w:rsidRPr="008D140C" w:rsidRDefault="00E23CDF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instrText xml:space="preserve"> FORMTEXT </w:instrTex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end"/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12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14:paraId="140C94FD" w14:textId="77777777" w:rsidR="00E23CDF" w:rsidRPr="008D140C" w:rsidRDefault="00E23CDF" w:rsidP="00757D26">
                  <w:pPr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t xml:space="preserve"> TAK </w:t>
                  </w:r>
                  <w:r w:rsidRPr="008D14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 xml:space="preserve">/ </w:t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t xml:space="preserve"> NIE</w:t>
                  </w:r>
                </w:p>
              </w:tc>
            </w:tr>
            <w:tr w:rsidR="00E23CDF" w:rsidRPr="008D140C" w14:paraId="5B86A766" w14:textId="77777777" w:rsidTr="00E23CDF">
              <w:trPr>
                <w:trHeight w:val="227"/>
              </w:trPr>
              <w:tc>
                <w:tcPr>
                  <w:tcW w:w="5000" w:type="pct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shd w:val="clear" w:color="auto" w:fill="FFFFFF"/>
                  <w:tcMar>
                    <w:right w:w="0" w:type="dxa"/>
                  </w:tcMar>
                  <w:vAlign w:val="center"/>
                </w:tcPr>
                <w:p w14:paraId="73108336" w14:textId="77777777" w:rsidR="00E23CDF" w:rsidRPr="008D140C" w:rsidRDefault="00E23CDF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E23CDF" w:rsidRPr="008D140C" w14:paraId="0517E696" w14:textId="77777777" w:rsidTr="00E23CDF">
              <w:trPr>
                <w:trHeight w:val="227"/>
              </w:trPr>
              <w:tc>
                <w:tcPr>
                  <w:tcW w:w="500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pct10" w:color="auto" w:fill="auto"/>
                  <w:tcMar>
                    <w:right w:w="0" w:type="dxa"/>
                  </w:tcMar>
                  <w:vAlign w:val="center"/>
                </w:tcPr>
                <w:p w14:paraId="57D0ECC3" w14:textId="6506AFB8" w:rsidR="00E23CDF" w:rsidRPr="00E23CDF" w:rsidRDefault="00E23CDF" w:rsidP="00757D2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CDF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Rachunki pomocnicze konsolidowane </w:t>
                  </w:r>
                  <w:r w:rsidR="007E2867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(rachunki muszą być w jednej walucie)</w:t>
                  </w:r>
                  <w:r w:rsidRPr="00E23CDF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:</w:t>
                  </w:r>
                </w:p>
              </w:tc>
            </w:tr>
            <w:tr w:rsidR="00E23CDF" w:rsidRPr="008D140C" w14:paraId="719CFF32" w14:textId="77777777" w:rsidTr="00622041">
              <w:trPr>
                <w:trHeight w:val="227"/>
              </w:trPr>
              <w:tc>
                <w:tcPr>
                  <w:tcW w:w="202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tcMar>
                    <w:right w:w="0" w:type="dxa"/>
                  </w:tcMar>
                  <w:vAlign w:val="center"/>
                </w:tcPr>
                <w:p w14:paraId="00F5B1A2" w14:textId="77777777" w:rsidR="00E23CDF" w:rsidRPr="008D140C" w:rsidRDefault="00E23CDF" w:rsidP="00E23CD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b/>
                      <w:color w:val="000000"/>
                      <w:sz w:val="15"/>
                      <w:szCs w:val="15"/>
                    </w:rPr>
                    <w:t>Numer rachunku w formacie NRB</w:t>
                  </w:r>
                </w:p>
              </w:tc>
              <w:tc>
                <w:tcPr>
                  <w:tcW w:w="91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14:paraId="6CAC3C9C" w14:textId="77777777" w:rsidR="00E23CDF" w:rsidRPr="008D140C" w:rsidRDefault="00E23CDF" w:rsidP="00E23CD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b/>
                      <w:color w:val="000000"/>
                      <w:sz w:val="15"/>
                      <w:szCs w:val="15"/>
                    </w:rPr>
                    <w:t>Minimalna kwota konsolidacji</w:t>
                  </w:r>
                </w:p>
              </w:tc>
              <w:tc>
                <w:tcPr>
                  <w:tcW w:w="78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14:paraId="269E25AF" w14:textId="77777777" w:rsidR="00E23CDF" w:rsidRPr="008D140C" w:rsidRDefault="00E23CDF" w:rsidP="00E23CD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b/>
                      <w:color w:val="000000"/>
                      <w:sz w:val="15"/>
                      <w:szCs w:val="15"/>
                    </w:rPr>
                    <w:t>Kwota osadu</w:t>
                  </w:r>
                </w:p>
              </w:tc>
              <w:tc>
                <w:tcPr>
                  <w:tcW w:w="12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14:paraId="1C187714" w14:textId="77777777" w:rsidR="00E23CDF" w:rsidRPr="008D140C" w:rsidRDefault="00E23CDF" w:rsidP="00E23CD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b/>
                      <w:color w:val="000000"/>
                      <w:sz w:val="15"/>
                      <w:szCs w:val="15"/>
                    </w:rPr>
                    <w:t>Rachunek powiązany z kredytem w rachunku bieżącym</w:t>
                  </w:r>
                </w:p>
              </w:tc>
            </w:tr>
            <w:tr w:rsidR="00E23CDF" w:rsidRPr="008D140C" w:rsidDel="000420FC" w14:paraId="07BECB4F" w14:textId="77777777" w:rsidTr="00622041">
              <w:trPr>
                <w:trHeight w:val="227"/>
              </w:trPr>
              <w:tc>
                <w:tcPr>
                  <w:tcW w:w="202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tcMar>
                    <w:right w:w="0" w:type="dxa"/>
                  </w:tcMar>
                  <w:vAlign w:val="center"/>
                </w:tcPr>
                <w:p w14:paraId="2EF72590" w14:textId="77777777" w:rsidR="00E23CDF" w:rsidRPr="008D140C" w:rsidDel="000420FC" w:rsidRDefault="00E23CDF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instrText xml:space="preserve"> FORMTEXT </w:instrTex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end"/>
                  </w:r>
                </w:p>
              </w:tc>
              <w:tc>
                <w:tcPr>
                  <w:tcW w:w="91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14:paraId="5A68DDA7" w14:textId="77777777" w:rsidR="00E23CDF" w:rsidRPr="008D140C" w:rsidDel="000420FC" w:rsidRDefault="00E23CDF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instrText xml:space="preserve"> FORMTEXT </w:instrTex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end"/>
                  </w:r>
                </w:p>
              </w:tc>
              <w:tc>
                <w:tcPr>
                  <w:tcW w:w="78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14:paraId="040C2F6E" w14:textId="77777777" w:rsidR="00E23CDF" w:rsidRPr="008D140C" w:rsidDel="000420FC" w:rsidRDefault="00E23CDF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instrText xml:space="preserve"> FORMTEXT </w:instrTex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end"/>
                  </w:r>
                </w:p>
              </w:tc>
              <w:tc>
                <w:tcPr>
                  <w:tcW w:w="12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14:paraId="628447AE" w14:textId="77777777" w:rsidR="00E23CDF" w:rsidRPr="008D140C" w:rsidDel="000420FC" w:rsidRDefault="00E23CDF" w:rsidP="00757D26">
                  <w:pPr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t xml:space="preserve"> TAK </w:t>
                  </w:r>
                  <w:r w:rsidRPr="008D14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 xml:space="preserve">/ </w:t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t xml:space="preserve"> NIE</w:t>
                  </w:r>
                </w:p>
              </w:tc>
            </w:tr>
            <w:tr w:rsidR="00E23CDF" w:rsidRPr="008D140C" w:rsidDel="000420FC" w14:paraId="2C97EFDE" w14:textId="77777777" w:rsidTr="00622041">
              <w:trPr>
                <w:trHeight w:val="227"/>
              </w:trPr>
              <w:tc>
                <w:tcPr>
                  <w:tcW w:w="202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tcMar>
                    <w:right w:w="0" w:type="dxa"/>
                  </w:tcMar>
                  <w:vAlign w:val="center"/>
                </w:tcPr>
                <w:p w14:paraId="3D8A5B29" w14:textId="77777777" w:rsidR="00E23CDF" w:rsidRPr="008D140C" w:rsidDel="000420FC" w:rsidRDefault="00E23CDF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instrText xml:space="preserve"> FORMTEXT </w:instrTex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end"/>
                  </w:r>
                </w:p>
              </w:tc>
              <w:tc>
                <w:tcPr>
                  <w:tcW w:w="91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14:paraId="7FD7F5FA" w14:textId="77777777" w:rsidR="00E23CDF" w:rsidRPr="008D140C" w:rsidDel="000420FC" w:rsidRDefault="00E23CDF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instrText xml:space="preserve"> FORMTEXT </w:instrTex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end"/>
                  </w:r>
                </w:p>
              </w:tc>
              <w:tc>
                <w:tcPr>
                  <w:tcW w:w="78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14:paraId="1B047FF8" w14:textId="77777777" w:rsidR="00E23CDF" w:rsidRPr="008D140C" w:rsidDel="000420FC" w:rsidRDefault="00E23CDF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instrText xml:space="preserve"> FORMTEXT </w:instrTex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end"/>
                  </w:r>
                </w:p>
              </w:tc>
              <w:tc>
                <w:tcPr>
                  <w:tcW w:w="12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14:paraId="16AE0239" w14:textId="77777777" w:rsidR="00E23CDF" w:rsidRPr="008D140C" w:rsidDel="000420FC" w:rsidRDefault="00E23CDF" w:rsidP="00757D26">
                  <w:pPr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t xml:space="preserve"> TAK </w:t>
                  </w:r>
                  <w:r w:rsidRPr="008D14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 xml:space="preserve">/ </w:t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t xml:space="preserve"> NIE</w:t>
                  </w:r>
                </w:p>
              </w:tc>
            </w:tr>
            <w:tr w:rsidR="00E23CDF" w:rsidRPr="008D140C" w:rsidDel="000420FC" w14:paraId="7AEA39E6" w14:textId="77777777" w:rsidTr="00622041">
              <w:trPr>
                <w:trHeight w:val="227"/>
              </w:trPr>
              <w:tc>
                <w:tcPr>
                  <w:tcW w:w="202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tcMar>
                    <w:right w:w="0" w:type="dxa"/>
                  </w:tcMar>
                  <w:vAlign w:val="center"/>
                </w:tcPr>
                <w:p w14:paraId="5BD9E31A" w14:textId="77777777" w:rsidR="00E23CDF" w:rsidRPr="008D140C" w:rsidDel="000420FC" w:rsidRDefault="00E23CDF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instrText xml:space="preserve"> FORMTEXT </w:instrTex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end"/>
                  </w:r>
                </w:p>
              </w:tc>
              <w:tc>
                <w:tcPr>
                  <w:tcW w:w="91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14:paraId="50EA32E9" w14:textId="77777777" w:rsidR="00E23CDF" w:rsidRPr="008D140C" w:rsidDel="000420FC" w:rsidRDefault="00E23CDF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instrText xml:space="preserve"> FORMTEXT </w:instrTex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end"/>
                  </w:r>
                </w:p>
              </w:tc>
              <w:tc>
                <w:tcPr>
                  <w:tcW w:w="78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14:paraId="43B00603" w14:textId="77777777" w:rsidR="00E23CDF" w:rsidRPr="008D140C" w:rsidDel="000420FC" w:rsidRDefault="00E23CDF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instrText xml:space="preserve"> FORMTEXT </w:instrTex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eastAsia="MS Mincho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end"/>
                  </w:r>
                </w:p>
              </w:tc>
              <w:tc>
                <w:tcPr>
                  <w:tcW w:w="12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14:paraId="52E3741C" w14:textId="77777777" w:rsidR="00E23CDF" w:rsidRPr="008D140C" w:rsidDel="000420FC" w:rsidRDefault="00E23CDF" w:rsidP="00757D26">
                  <w:pPr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t xml:space="preserve"> TAK </w:t>
                  </w:r>
                  <w:r w:rsidRPr="008D14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 xml:space="preserve">/ </w:t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t xml:space="preserve"> NIE</w:t>
                  </w:r>
                </w:p>
              </w:tc>
            </w:tr>
            <w:tr w:rsidR="00E23CDF" w:rsidRPr="006315E8" w:rsidDel="000420FC" w14:paraId="63CF7B94" w14:textId="77777777" w:rsidTr="00622041">
              <w:trPr>
                <w:trHeight w:val="227"/>
              </w:trPr>
              <w:tc>
                <w:tcPr>
                  <w:tcW w:w="202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tcMar>
                    <w:right w:w="0" w:type="dxa"/>
                  </w:tcMar>
                  <w:vAlign w:val="center"/>
                </w:tcPr>
                <w:p w14:paraId="06BC23B2" w14:textId="77777777" w:rsidR="00E23CDF" w:rsidRPr="008D140C" w:rsidDel="000420FC" w:rsidRDefault="00E23CDF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instrText xml:space="preserve"> FORMTEXT </w:instrTex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6315E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6315E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6315E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6315E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6315E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end"/>
                  </w:r>
                </w:p>
              </w:tc>
              <w:tc>
                <w:tcPr>
                  <w:tcW w:w="91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14:paraId="7AB20FF2" w14:textId="77777777" w:rsidR="00E23CDF" w:rsidRPr="008D140C" w:rsidDel="000420FC" w:rsidRDefault="00E23CDF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instrText xml:space="preserve"> FORMTEXT </w:instrTex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6315E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6315E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6315E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6315E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6315E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end"/>
                  </w:r>
                </w:p>
              </w:tc>
              <w:tc>
                <w:tcPr>
                  <w:tcW w:w="78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14:paraId="1C1A9E2B" w14:textId="77777777" w:rsidR="00E23CDF" w:rsidRPr="008D140C" w:rsidDel="000420FC" w:rsidRDefault="00E23CDF" w:rsidP="00757D26">
                  <w:pP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instrText xml:space="preserve"> FORMTEXT </w:instrTex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6315E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6315E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6315E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6315E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6315E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 </w:t>
                  </w:r>
                  <w:r w:rsidRPr="008D14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fldChar w:fldCharType="end"/>
                  </w:r>
                </w:p>
              </w:tc>
              <w:tc>
                <w:tcPr>
                  <w:tcW w:w="12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14:paraId="443296C9" w14:textId="77777777" w:rsidR="00E23CDF" w:rsidRPr="006315E8" w:rsidDel="000420FC" w:rsidRDefault="00E23CDF" w:rsidP="00757D26">
                  <w:pPr>
                    <w:jc w:val="center"/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</w:pP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t xml:space="preserve"> TAK </w:t>
                  </w:r>
                  <w:r w:rsidRPr="006315E8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t xml:space="preserve">/ </w:t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fldChar w:fldCharType="end"/>
                  </w:r>
                  <w:r w:rsidRPr="008D140C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t xml:space="preserve"> NIE</w:t>
                  </w:r>
                </w:p>
              </w:tc>
            </w:tr>
          </w:tbl>
          <w:p w14:paraId="29C4BF73" w14:textId="77777777" w:rsidR="00E23CDF" w:rsidRDefault="00E23CDF" w:rsidP="004D3BDD">
            <w:pPr>
              <w:suppressAutoHyphens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7BF15AB7" w14:textId="77777777" w:rsidR="004A5290" w:rsidRDefault="004A5290" w:rsidP="004A5290">
            <w:pPr>
              <w:suppressAutoHyphens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</w:t>
            </w:r>
            <w:r w:rsidRPr="00391E8E">
              <w:rPr>
                <w:rFonts w:ascii="Arial" w:hAnsi="Arial" w:cs="Arial"/>
                <w:color w:val="000000"/>
                <w:sz w:val="15"/>
                <w:szCs w:val="15"/>
              </w:rPr>
              <w:t>płat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y</w:t>
            </w:r>
            <w:r w:rsidRPr="00391E8E">
              <w:rPr>
                <w:rFonts w:ascii="Arial" w:hAnsi="Arial" w:cs="Arial"/>
                <w:color w:val="000000"/>
                <w:sz w:val="15"/>
                <w:szCs w:val="15"/>
              </w:rPr>
              <w:t xml:space="preserve"> i prowizj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 w:rsidRPr="00391E8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związane z konsolidacją sald należy pobierać </w:t>
            </w:r>
            <w:r w:rsidRPr="00391E8E">
              <w:rPr>
                <w:rFonts w:ascii="Arial" w:hAnsi="Arial" w:cs="Arial"/>
                <w:color w:val="000000"/>
                <w:sz w:val="15"/>
                <w:szCs w:val="15"/>
              </w:rPr>
              <w:t>z poniższego rachunk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u:</w:t>
            </w:r>
          </w:p>
          <w:p w14:paraId="75322AAB" w14:textId="77777777" w:rsidR="004A5290" w:rsidRPr="00391E8E" w:rsidRDefault="004A5290" w:rsidP="004A5290">
            <w:pPr>
              <w:suppressAutoHyphens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tbl>
            <w:tblPr>
              <w:tblW w:w="7788" w:type="dxa"/>
              <w:tblInd w:w="157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</w:tblGrid>
            <w:tr w:rsidR="004A5290" w:rsidRPr="00391E8E" w14:paraId="5335B5BF" w14:textId="77777777" w:rsidTr="000C7077">
              <w:trPr>
                <w:trHeight w:val="397"/>
              </w:trPr>
              <w:tc>
                <w:tcPr>
                  <w:tcW w:w="2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9BDCA2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6BE5BB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58F739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1119B4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F13D99E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7906A52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4BC984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7EC55D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6656BA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1A0485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2C522F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59B642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B1CC01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2EC2DE2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9A92A0A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BEB40D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0E1836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C3A003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ADE8F78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32DC83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427956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235B9B9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22D41D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301135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1112B2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206F47A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FDDE6E7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EF00C0D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0B2A4A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620B03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4D396D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A0BB14" w14:textId="77777777" w:rsidR="004A5290" w:rsidRPr="00391E8E" w:rsidRDefault="004A5290" w:rsidP="004A5290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391E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</w:tr>
          </w:tbl>
          <w:p w14:paraId="4E8A50AB" w14:textId="77777777" w:rsidR="004A5290" w:rsidRDefault="004A5290" w:rsidP="004D3BDD">
            <w:pPr>
              <w:suppressAutoHyphens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2B457E0C" w14:textId="77777777" w:rsidR="004A5290" w:rsidRDefault="00101627" w:rsidP="004D3BDD">
            <w:pPr>
              <w:suppressAutoHyphens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Ogólne zasady świadczenia usługi konsolidacji sald</w:t>
            </w:r>
            <w:r w:rsidR="007A50AB"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</w:p>
          <w:p w14:paraId="2401689B" w14:textId="77777777" w:rsidR="00101627" w:rsidRDefault="00101627" w:rsidP="004D3BDD">
            <w:pPr>
              <w:suppressAutoHyphens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6516B868" w14:textId="77777777" w:rsidR="007A50AB" w:rsidRPr="00421DBF" w:rsidRDefault="007A50AB" w:rsidP="007A50AB">
            <w:pPr>
              <w:pStyle w:val="Tekstpodstawowy31"/>
              <w:numPr>
                <w:ilvl w:val="0"/>
                <w:numId w:val="25"/>
              </w:numPr>
              <w:spacing w:before="0" w:line="276" w:lineRule="auto"/>
              <w:rPr>
                <w:sz w:val="15"/>
                <w:szCs w:val="15"/>
              </w:rPr>
            </w:pPr>
            <w:r w:rsidRPr="00421DBF">
              <w:rPr>
                <w:sz w:val="15"/>
                <w:szCs w:val="15"/>
              </w:rPr>
              <w:t xml:space="preserve">W </w:t>
            </w:r>
            <w:r w:rsidR="000D7E95">
              <w:rPr>
                <w:sz w:val="15"/>
                <w:szCs w:val="15"/>
              </w:rPr>
              <w:t>k</w:t>
            </w:r>
            <w:r w:rsidRPr="00421DBF">
              <w:rPr>
                <w:sz w:val="15"/>
                <w:szCs w:val="15"/>
              </w:rPr>
              <w:t xml:space="preserve">onsolidacji </w:t>
            </w:r>
            <w:r>
              <w:rPr>
                <w:sz w:val="15"/>
                <w:szCs w:val="15"/>
              </w:rPr>
              <w:t xml:space="preserve">sald </w:t>
            </w:r>
            <w:r w:rsidRPr="00421DBF">
              <w:rPr>
                <w:sz w:val="15"/>
                <w:szCs w:val="15"/>
              </w:rPr>
              <w:t xml:space="preserve">ze zwrotem oraz bez zwrotu środki transferowane są w końcu dnia z rachunków pomocniczych konsolidowanych na rachunek główny konsolidujący. </w:t>
            </w:r>
          </w:p>
          <w:p w14:paraId="33AD4D2B" w14:textId="77777777" w:rsidR="00E57C82" w:rsidRDefault="007A50AB" w:rsidP="00E57C82">
            <w:pPr>
              <w:pStyle w:val="Tekstpodstawowy31"/>
              <w:numPr>
                <w:ilvl w:val="0"/>
                <w:numId w:val="25"/>
              </w:numPr>
              <w:spacing w:before="0" w:line="276" w:lineRule="auto"/>
              <w:rPr>
                <w:sz w:val="15"/>
                <w:szCs w:val="15"/>
              </w:rPr>
            </w:pPr>
            <w:r w:rsidRPr="00421DBF">
              <w:rPr>
                <w:sz w:val="15"/>
                <w:szCs w:val="15"/>
              </w:rPr>
              <w:t xml:space="preserve">W przypadku </w:t>
            </w:r>
            <w:r w:rsidR="000D7E95">
              <w:rPr>
                <w:sz w:val="15"/>
                <w:szCs w:val="15"/>
              </w:rPr>
              <w:t>k</w:t>
            </w:r>
            <w:r w:rsidRPr="00421DBF">
              <w:rPr>
                <w:sz w:val="15"/>
                <w:szCs w:val="15"/>
              </w:rPr>
              <w:t xml:space="preserve">onsolidacji </w:t>
            </w:r>
            <w:r>
              <w:rPr>
                <w:sz w:val="15"/>
                <w:szCs w:val="15"/>
              </w:rPr>
              <w:t xml:space="preserve">sald </w:t>
            </w:r>
            <w:r w:rsidRPr="00421DBF">
              <w:rPr>
                <w:sz w:val="15"/>
                <w:szCs w:val="15"/>
              </w:rPr>
              <w:t xml:space="preserve">ze zwrotem na początek następnego dnia środki są automatycznie zwracane z rachunku głównego konsolidującego na rachunki pomocnicze konsolidowane. </w:t>
            </w:r>
          </w:p>
          <w:p w14:paraId="1A7626DE" w14:textId="77777777" w:rsidR="00235B07" w:rsidRDefault="00235B07" w:rsidP="00E57C82">
            <w:pPr>
              <w:pStyle w:val="Tekstpodstawowy31"/>
              <w:numPr>
                <w:ilvl w:val="0"/>
                <w:numId w:val="25"/>
              </w:numPr>
              <w:spacing w:before="0" w:line="27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</w:t>
            </w:r>
            <w:r w:rsidRPr="00D85191">
              <w:rPr>
                <w:sz w:val="15"/>
                <w:szCs w:val="15"/>
              </w:rPr>
              <w:t>inimaln</w:t>
            </w:r>
            <w:r>
              <w:rPr>
                <w:sz w:val="15"/>
                <w:szCs w:val="15"/>
              </w:rPr>
              <w:t>a</w:t>
            </w:r>
            <w:r w:rsidRPr="00D85191">
              <w:rPr>
                <w:sz w:val="15"/>
                <w:szCs w:val="15"/>
              </w:rPr>
              <w:t xml:space="preserve"> kwot</w:t>
            </w:r>
            <w:r>
              <w:rPr>
                <w:sz w:val="15"/>
                <w:szCs w:val="15"/>
              </w:rPr>
              <w:t>a</w:t>
            </w:r>
            <w:r w:rsidRPr="00D85191">
              <w:rPr>
                <w:sz w:val="15"/>
                <w:szCs w:val="15"/>
              </w:rPr>
              <w:t xml:space="preserve"> konsolidacji sald</w:t>
            </w:r>
            <w:r>
              <w:rPr>
                <w:sz w:val="15"/>
                <w:szCs w:val="15"/>
              </w:rPr>
              <w:t xml:space="preserve"> oznacza że j</w:t>
            </w:r>
            <w:r w:rsidRPr="00D85191">
              <w:rPr>
                <w:sz w:val="15"/>
                <w:szCs w:val="15"/>
              </w:rPr>
              <w:t xml:space="preserve">eżeli saldo rachunku pomocniczego </w:t>
            </w:r>
            <w:r>
              <w:rPr>
                <w:sz w:val="15"/>
                <w:szCs w:val="15"/>
              </w:rPr>
              <w:t>będzie</w:t>
            </w:r>
            <w:r w:rsidRPr="00D85191">
              <w:rPr>
                <w:sz w:val="15"/>
                <w:szCs w:val="15"/>
              </w:rPr>
              <w:t xml:space="preserve"> niższe niż wskazana </w:t>
            </w:r>
            <w:r>
              <w:rPr>
                <w:sz w:val="15"/>
                <w:szCs w:val="15"/>
              </w:rPr>
              <w:t>kwota</w:t>
            </w:r>
            <w:r w:rsidRPr="00D85191">
              <w:rPr>
                <w:sz w:val="15"/>
                <w:szCs w:val="15"/>
              </w:rPr>
              <w:t xml:space="preserve">, proces konsolidacji nie będzie realizowany. </w:t>
            </w:r>
            <w:r>
              <w:rPr>
                <w:sz w:val="15"/>
                <w:szCs w:val="15"/>
              </w:rPr>
              <w:t>Jeżeli dodatkowo do rachunku pomocniczym zostanie określona opcja „K</w:t>
            </w:r>
            <w:r w:rsidRPr="00D85191">
              <w:rPr>
                <w:sz w:val="15"/>
                <w:szCs w:val="15"/>
              </w:rPr>
              <w:t>wot</w:t>
            </w:r>
            <w:r>
              <w:rPr>
                <w:sz w:val="15"/>
                <w:szCs w:val="15"/>
              </w:rPr>
              <w:t>a</w:t>
            </w:r>
            <w:r w:rsidRPr="00D85191">
              <w:rPr>
                <w:sz w:val="15"/>
                <w:szCs w:val="15"/>
              </w:rPr>
              <w:t xml:space="preserve"> osadu</w:t>
            </w:r>
            <w:r>
              <w:rPr>
                <w:sz w:val="15"/>
                <w:szCs w:val="15"/>
              </w:rPr>
              <w:t>”</w:t>
            </w:r>
            <w:r w:rsidRPr="00D85191">
              <w:rPr>
                <w:sz w:val="15"/>
                <w:szCs w:val="15"/>
              </w:rPr>
              <w:t xml:space="preserve">, minimalna kwota konsolidacji </w:t>
            </w:r>
            <w:r>
              <w:rPr>
                <w:sz w:val="15"/>
                <w:szCs w:val="15"/>
              </w:rPr>
              <w:t xml:space="preserve">będzie </w:t>
            </w:r>
            <w:r w:rsidRPr="00D85191">
              <w:rPr>
                <w:sz w:val="15"/>
                <w:szCs w:val="15"/>
              </w:rPr>
              <w:t>odnosi</w:t>
            </w:r>
            <w:r>
              <w:rPr>
                <w:sz w:val="15"/>
                <w:szCs w:val="15"/>
              </w:rPr>
              <w:t>ć</w:t>
            </w:r>
            <w:r w:rsidRPr="00D85191">
              <w:rPr>
                <w:sz w:val="15"/>
                <w:szCs w:val="15"/>
              </w:rPr>
              <w:t xml:space="preserve"> się do salda przekraczającego wartość </w:t>
            </w:r>
            <w:r>
              <w:rPr>
                <w:sz w:val="15"/>
                <w:szCs w:val="15"/>
              </w:rPr>
              <w:t xml:space="preserve">„Kwoty </w:t>
            </w:r>
            <w:r w:rsidRPr="00D85191">
              <w:rPr>
                <w:sz w:val="15"/>
                <w:szCs w:val="15"/>
              </w:rPr>
              <w:t>osadu</w:t>
            </w:r>
            <w:r>
              <w:rPr>
                <w:sz w:val="15"/>
                <w:szCs w:val="15"/>
              </w:rPr>
              <w:t>”</w:t>
            </w:r>
            <w:r w:rsidRPr="00D85191">
              <w:rPr>
                <w:sz w:val="15"/>
                <w:szCs w:val="15"/>
              </w:rPr>
              <w:t>.</w:t>
            </w:r>
          </w:p>
          <w:p w14:paraId="41BDC79F" w14:textId="77777777" w:rsidR="00235B07" w:rsidRPr="00235B07" w:rsidRDefault="00235B07" w:rsidP="00235B07">
            <w:pPr>
              <w:pStyle w:val="Tekstpodstawowy31"/>
              <w:numPr>
                <w:ilvl w:val="0"/>
                <w:numId w:val="25"/>
              </w:numPr>
              <w:spacing w:before="0" w:line="276" w:lineRule="auto"/>
              <w:rPr>
                <w:sz w:val="15"/>
                <w:szCs w:val="15"/>
              </w:rPr>
            </w:pPr>
            <w:r w:rsidRPr="00235B07">
              <w:rPr>
                <w:sz w:val="15"/>
                <w:szCs w:val="15"/>
              </w:rPr>
              <w:t xml:space="preserve">Kwota osadu określa wartość środków, która zostanie na rachunku pomocniczym konsolidowanym po dokonanej konsolidacji sald. </w:t>
            </w:r>
          </w:p>
          <w:p w14:paraId="28A008B6" w14:textId="77777777" w:rsidR="00E57C82" w:rsidRPr="00421DBF" w:rsidRDefault="00E57C82" w:rsidP="00E57C82">
            <w:pPr>
              <w:pStyle w:val="Tekstpodstawowy31"/>
              <w:numPr>
                <w:ilvl w:val="0"/>
                <w:numId w:val="25"/>
              </w:numPr>
              <w:spacing w:before="0" w:line="276" w:lineRule="auto"/>
              <w:rPr>
                <w:sz w:val="15"/>
                <w:szCs w:val="15"/>
              </w:rPr>
            </w:pPr>
            <w:r w:rsidRPr="00421DBF">
              <w:rPr>
                <w:sz w:val="15"/>
                <w:szCs w:val="15"/>
              </w:rPr>
              <w:t xml:space="preserve">Konsolidacja </w:t>
            </w:r>
            <w:r>
              <w:rPr>
                <w:sz w:val="15"/>
                <w:szCs w:val="15"/>
              </w:rPr>
              <w:t xml:space="preserve">sald </w:t>
            </w:r>
            <w:r w:rsidRPr="00421DBF">
              <w:rPr>
                <w:sz w:val="15"/>
                <w:szCs w:val="15"/>
              </w:rPr>
              <w:t xml:space="preserve">wykonywana jest: </w:t>
            </w:r>
          </w:p>
          <w:p w14:paraId="1E7B01D1" w14:textId="77777777" w:rsidR="00E57C82" w:rsidRPr="00421DBF" w:rsidRDefault="00E57C82" w:rsidP="00E57C82">
            <w:pPr>
              <w:numPr>
                <w:ilvl w:val="0"/>
                <w:numId w:val="27"/>
              </w:numPr>
              <w:suppressAutoHyphens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21DBF">
              <w:rPr>
                <w:rFonts w:ascii="Arial" w:hAnsi="Arial" w:cs="Arial"/>
                <w:sz w:val="15"/>
                <w:szCs w:val="15"/>
              </w:rPr>
              <w:t xml:space="preserve">automatycznie - salda rachunków pomocniczych konsolidowanych na koniec dnia operacyjnego zostają automatycznie przeksięgowane na rachunek główny konsolidujący; </w:t>
            </w:r>
          </w:p>
          <w:p w14:paraId="70015E47" w14:textId="77777777" w:rsidR="00E57C82" w:rsidRPr="00421DBF" w:rsidRDefault="00E57C82" w:rsidP="00E57C82">
            <w:pPr>
              <w:numPr>
                <w:ilvl w:val="0"/>
                <w:numId w:val="27"/>
              </w:numPr>
              <w:suppressAutoHyphens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21DBF">
              <w:rPr>
                <w:rFonts w:ascii="Arial" w:hAnsi="Arial" w:cs="Arial"/>
                <w:sz w:val="15"/>
                <w:szCs w:val="15"/>
              </w:rPr>
              <w:t>dodatkowo na żądanie Klienta - środki z rachunków pomocniczych konsolidowanych mogą być konsolidowane na rachunku głównym konsolidującym wielokrotnie w ciągu dnia operacyjnego, operacja dokonywana jest każdorazowo z inicjatywy Klienta za pośrednictwem bankowości elektronicznej  iBOSS24 z poziomu rachunku głównego konsolidującego; jeżeli Klient korzysta z bankowości elektronicznej iBOSS24 istnieje możliwość:</w:t>
            </w:r>
          </w:p>
          <w:p w14:paraId="7F8AC233" w14:textId="77777777" w:rsidR="00E57C82" w:rsidRPr="00421DBF" w:rsidRDefault="00E57C82" w:rsidP="00E57C82">
            <w:pPr>
              <w:numPr>
                <w:ilvl w:val="0"/>
                <w:numId w:val="26"/>
              </w:numPr>
              <w:suppressAutoHyphens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21DBF">
              <w:rPr>
                <w:rFonts w:ascii="Arial" w:hAnsi="Arial" w:cs="Arial"/>
                <w:sz w:val="15"/>
                <w:szCs w:val="15"/>
              </w:rPr>
              <w:t xml:space="preserve">zrealizowania </w:t>
            </w:r>
            <w:r w:rsidR="000D7E95">
              <w:rPr>
                <w:rFonts w:ascii="Arial" w:hAnsi="Arial" w:cs="Arial"/>
                <w:sz w:val="15"/>
                <w:szCs w:val="15"/>
              </w:rPr>
              <w:t>k</w:t>
            </w:r>
            <w:r w:rsidRPr="00421DBF">
              <w:rPr>
                <w:rFonts w:ascii="Arial" w:hAnsi="Arial" w:cs="Arial"/>
                <w:sz w:val="15"/>
                <w:szCs w:val="15"/>
              </w:rPr>
              <w:t xml:space="preserve">onsolidacji </w:t>
            </w:r>
            <w:r>
              <w:rPr>
                <w:rFonts w:ascii="Arial" w:hAnsi="Arial" w:cs="Arial"/>
                <w:sz w:val="15"/>
                <w:szCs w:val="15"/>
              </w:rPr>
              <w:t xml:space="preserve">sald </w:t>
            </w:r>
            <w:r w:rsidRPr="00421DBF">
              <w:rPr>
                <w:rFonts w:ascii="Arial" w:hAnsi="Arial" w:cs="Arial"/>
                <w:sz w:val="15"/>
                <w:szCs w:val="15"/>
              </w:rPr>
              <w:t>na żądanie,</w:t>
            </w:r>
          </w:p>
          <w:p w14:paraId="09491AD6" w14:textId="77777777" w:rsidR="00E57C82" w:rsidRPr="00421DBF" w:rsidRDefault="00E57C82" w:rsidP="00E57C82">
            <w:pPr>
              <w:numPr>
                <w:ilvl w:val="0"/>
                <w:numId w:val="26"/>
              </w:numPr>
              <w:suppressAutoHyphens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21DBF">
              <w:rPr>
                <w:rFonts w:ascii="Arial" w:hAnsi="Arial" w:cs="Arial"/>
                <w:sz w:val="15"/>
                <w:szCs w:val="15"/>
              </w:rPr>
              <w:t xml:space="preserve">wygenerowania raportu ze zrealizowanych </w:t>
            </w:r>
            <w:r w:rsidR="000D7E95">
              <w:rPr>
                <w:rFonts w:ascii="Arial" w:hAnsi="Arial" w:cs="Arial"/>
                <w:sz w:val="15"/>
                <w:szCs w:val="15"/>
              </w:rPr>
              <w:t>k</w:t>
            </w:r>
            <w:r w:rsidRPr="00421DBF">
              <w:rPr>
                <w:rFonts w:ascii="Arial" w:hAnsi="Arial" w:cs="Arial"/>
                <w:sz w:val="15"/>
                <w:szCs w:val="15"/>
              </w:rPr>
              <w:t>onsolidacji</w:t>
            </w:r>
            <w:r>
              <w:rPr>
                <w:rFonts w:ascii="Arial" w:hAnsi="Arial" w:cs="Arial"/>
                <w:sz w:val="15"/>
                <w:szCs w:val="15"/>
              </w:rPr>
              <w:t xml:space="preserve"> sald</w:t>
            </w:r>
            <w:r w:rsidRPr="00421DBF">
              <w:rPr>
                <w:rFonts w:ascii="Arial" w:hAnsi="Arial" w:cs="Arial"/>
                <w:sz w:val="15"/>
                <w:szCs w:val="15"/>
              </w:rPr>
              <w:t>,</w:t>
            </w:r>
          </w:p>
          <w:p w14:paraId="54974468" w14:textId="77777777" w:rsidR="007A50AB" w:rsidRPr="00235B07" w:rsidRDefault="00E57C82" w:rsidP="00235B07">
            <w:pPr>
              <w:numPr>
                <w:ilvl w:val="0"/>
                <w:numId w:val="26"/>
              </w:numPr>
              <w:suppressAutoHyphens/>
              <w:spacing w:line="276" w:lineRule="auto"/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421DBF">
              <w:rPr>
                <w:rFonts w:ascii="Arial" w:hAnsi="Arial" w:cs="Arial"/>
                <w:sz w:val="15"/>
                <w:szCs w:val="15"/>
              </w:rPr>
              <w:t>aktywacji/dezaktywacji</w:t>
            </w:r>
            <w:r w:rsidRPr="00421DBF">
              <w:rPr>
                <w:rFonts w:ascii="Arial" w:hAnsi="Arial" w:cs="Arial"/>
                <w:bCs/>
                <w:sz w:val="15"/>
                <w:szCs w:val="15"/>
              </w:rPr>
              <w:t xml:space="preserve"> usługi </w:t>
            </w:r>
            <w:r w:rsidR="000D7E95">
              <w:rPr>
                <w:rFonts w:ascii="Arial" w:hAnsi="Arial" w:cs="Arial"/>
                <w:bCs/>
                <w:sz w:val="15"/>
                <w:szCs w:val="15"/>
              </w:rPr>
              <w:t>k</w:t>
            </w:r>
            <w:r w:rsidRPr="00421DBF">
              <w:rPr>
                <w:rFonts w:ascii="Arial" w:hAnsi="Arial" w:cs="Arial"/>
                <w:bCs/>
                <w:sz w:val="15"/>
                <w:szCs w:val="15"/>
              </w:rPr>
              <w:t xml:space="preserve">onsolidacji </w:t>
            </w:r>
            <w:r>
              <w:rPr>
                <w:rFonts w:ascii="Arial" w:hAnsi="Arial" w:cs="Arial"/>
                <w:bCs/>
                <w:sz w:val="15"/>
                <w:szCs w:val="15"/>
              </w:rPr>
              <w:t>sald</w:t>
            </w:r>
            <w:r w:rsidRPr="00421DBF">
              <w:rPr>
                <w:rFonts w:ascii="Arial" w:hAnsi="Arial" w:cs="Arial"/>
                <w:bCs/>
                <w:sz w:val="15"/>
                <w:szCs w:val="15"/>
              </w:rPr>
              <w:t xml:space="preserve">, </w:t>
            </w:r>
            <w:r w:rsidRPr="00421DBF">
              <w:rPr>
                <w:rFonts w:ascii="Arial" w:hAnsi="Arial" w:cs="Arial"/>
                <w:sz w:val="15"/>
                <w:szCs w:val="15"/>
              </w:rPr>
              <w:t xml:space="preserve">zgodnie z typem </w:t>
            </w:r>
            <w:r w:rsidR="000D7E95">
              <w:rPr>
                <w:rFonts w:ascii="Arial" w:hAnsi="Arial" w:cs="Arial"/>
                <w:sz w:val="15"/>
                <w:szCs w:val="15"/>
              </w:rPr>
              <w:t>k</w:t>
            </w:r>
            <w:r w:rsidRPr="00421DBF">
              <w:rPr>
                <w:rFonts w:ascii="Arial" w:hAnsi="Arial" w:cs="Arial"/>
                <w:sz w:val="15"/>
                <w:szCs w:val="15"/>
              </w:rPr>
              <w:t xml:space="preserve">onsolidacji </w:t>
            </w:r>
            <w:r>
              <w:rPr>
                <w:rFonts w:ascii="Arial" w:hAnsi="Arial" w:cs="Arial"/>
                <w:sz w:val="15"/>
                <w:szCs w:val="15"/>
              </w:rPr>
              <w:t xml:space="preserve">sald </w:t>
            </w:r>
            <w:r w:rsidRPr="00421DBF">
              <w:rPr>
                <w:rFonts w:ascii="Arial" w:hAnsi="Arial" w:cs="Arial"/>
                <w:sz w:val="15"/>
                <w:szCs w:val="15"/>
              </w:rPr>
              <w:t>określonym w dyspozycji</w:t>
            </w:r>
            <w:r w:rsidRPr="00421DBF">
              <w:rPr>
                <w:rFonts w:ascii="Arial" w:hAnsi="Arial" w:cs="Arial"/>
                <w:bCs/>
                <w:sz w:val="15"/>
                <w:szCs w:val="15"/>
              </w:rPr>
              <w:t>.</w:t>
            </w:r>
          </w:p>
          <w:p w14:paraId="4A281A41" w14:textId="4C900813" w:rsidR="00723FF3" w:rsidRPr="00027A06" w:rsidRDefault="00723FF3" w:rsidP="00723FF3">
            <w:pPr>
              <w:pStyle w:val="Tekstpodstawowy31"/>
              <w:numPr>
                <w:ilvl w:val="0"/>
                <w:numId w:val="25"/>
              </w:numPr>
              <w:spacing w:before="0" w:line="276" w:lineRule="auto"/>
              <w:rPr>
                <w:sz w:val="15"/>
                <w:szCs w:val="15"/>
              </w:rPr>
            </w:pPr>
            <w:r w:rsidRPr="00421DBF">
              <w:rPr>
                <w:sz w:val="15"/>
                <w:szCs w:val="15"/>
              </w:rPr>
              <w:t xml:space="preserve">W przypadku salda dodatniego konsolidowane są dodatnie salda rachunków pomocniczych konsolidowanych. W przypadku opcji saldo ujemne oraz dodatnie na rachunku głównym konsolidującym księgowane </w:t>
            </w:r>
            <w:r w:rsidRPr="00027A06">
              <w:rPr>
                <w:sz w:val="15"/>
                <w:szCs w:val="15"/>
              </w:rPr>
              <w:t>są zarówno</w:t>
            </w:r>
            <w:r w:rsidR="008D3BAD" w:rsidRPr="00027A06">
              <w:rPr>
                <w:sz w:val="15"/>
                <w:szCs w:val="15"/>
              </w:rPr>
              <w:t xml:space="preserve"> salda</w:t>
            </w:r>
            <w:r w:rsidRPr="00027A06">
              <w:rPr>
                <w:sz w:val="15"/>
                <w:szCs w:val="15"/>
              </w:rPr>
              <w:t xml:space="preserve"> ujemne, jak i </w:t>
            </w:r>
            <w:r w:rsidR="008D3BAD" w:rsidRPr="00027A06">
              <w:rPr>
                <w:sz w:val="15"/>
                <w:szCs w:val="15"/>
              </w:rPr>
              <w:t xml:space="preserve">salda </w:t>
            </w:r>
            <w:r w:rsidRPr="00027A06">
              <w:rPr>
                <w:sz w:val="15"/>
                <w:szCs w:val="15"/>
              </w:rPr>
              <w:t xml:space="preserve">dodatnie, według następujących zasad: </w:t>
            </w:r>
          </w:p>
          <w:p w14:paraId="7F840C99" w14:textId="4C929FC3" w:rsidR="00723FF3" w:rsidRPr="00421DBF" w:rsidRDefault="00723FF3" w:rsidP="00723FF3">
            <w:pPr>
              <w:numPr>
                <w:ilvl w:val="0"/>
                <w:numId w:val="28"/>
              </w:numPr>
              <w:suppressAutoHyphens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27A06">
              <w:rPr>
                <w:rFonts w:ascii="Arial" w:hAnsi="Arial" w:cs="Arial"/>
                <w:sz w:val="15"/>
                <w:szCs w:val="15"/>
              </w:rPr>
              <w:t>jeżeli saldo rachunków pomocniczych konsolidowanych spowoduje saldo debetowe na</w:t>
            </w:r>
            <w:r w:rsidRPr="00421DBF">
              <w:rPr>
                <w:rFonts w:ascii="Arial" w:hAnsi="Arial" w:cs="Arial"/>
                <w:sz w:val="15"/>
                <w:szCs w:val="15"/>
              </w:rPr>
              <w:t xml:space="preserve"> rachunku głównym konsolidującym Bank będzie naliczał i pobierał odsetki karne zgodnie z obowiązującą w Banku tabelą oprocentowania środków pieniężnych;</w:t>
            </w:r>
          </w:p>
          <w:p w14:paraId="07E43362" w14:textId="3007D408" w:rsidR="00723FF3" w:rsidRPr="00421DBF" w:rsidRDefault="00723FF3" w:rsidP="00723FF3">
            <w:pPr>
              <w:numPr>
                <w:ilvl w:val="0"/>
                <w:numId w:val="28"/>
              </w:numPr>
              <w:suppressAutoHyphens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21DBF">
              <w:rPr>
                <w:rFonts w:ascii="Arial" w:hAnsi="Arial" w:cs="Arial"/>
                <w:sz w:val="15"/>
                <w:szCs w:val="15"/>
              </w:rPr>
              <w:t xml:space="preserve">jeżeli rachunek pomocniczy w </w:t>
            </w:r>
            <w:r w:rsidR="000D7E95">
              <w:rPr>
                <w:rFonts w:ascii="Arial" w:hAnsi="Arial" w:cs="Arial"/>
                <w:sz w:val="15"/>
                <w:szCs w:val="15"/>
              </w:rPr>
              <w:t>k</w:t>
            </w:r>
            <w:r w:rsidRPr="00421DBF">
              <w:rPr>
                <w:rFonts w:ascii="Arial" w:hAnsi="Arial" w:cs="Arial"/>
                <w:sz w:val="15"/>
                <w:szCs w:val="15"/>
              </w:rPr>
              <w:t xml:space="preserve">onsolidacji </w:t>
            </w:r>
            <w:r>
              <w:rPr>
                <w:rFonts w:ascii="Arial" w:hAnsi="Arial" w:cs="Arial"/>
                <w:sz w:val="15"/>
                <w:szCs w:val="15"/>
              </w:rPr>
              <w:t xml:space="preserve">sald </w:t>
            </w:r>
            <w:r w:rsidRPr="00421DBF">
              <w:rPr>
                <w:rFonts w:ascii="Arial" w:hAnsi="Arial" w:cs="Arial"/>
                <w:sz w:val="15"/>
                <w:szCs w:val="15"/>
              </w:rPr>
              <w:t>jest powiązany z kredytem w rachunku bieżącym, w ciężar rachunku głównego przeksięgowywana jest wartość salda bieżącego rachunku nieuwzględniająca środków dostępnych/wykorzystanych w ramach kredytu. Jeżeli saldo rachunków pomocniczych konsolidowanych spowoduje ujemne saldo debetowe na rachunku głównym konsolidującym Bank będzie naliczał i pobierał odsetki karne zgodnie z obowiązującą w Banku tabelą oprocentowania środków pieniężnych</w:t>
            </w:r>
            <w:r w:rsidR="000D7E95">
              <w:rPr>
                <w:rFonts w:ascii="Arial" w:hAnsi="Arial" w:cs="Arial"/>
                <w:sz w:val="15"/>
                <w:szCs w:val="15"/>
              </w:rPr>
              <w:t>;</w:t>
            </w:r>
            <w:r w:rsidRPr="00421DBF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5893FC5C" w14:textId="375E08BB" w:rsidR="00723FF3" w:rsidRPr="00421DBF" w:rsidRDefault="00723FF3" w:rsidP="00723FF3">
            <w:pPr>
              <w:numPr>
                <w:ilvl w:val="0"/>
                <w:numId w:val="28"/>
              </w:numPr>
              <w:suppressAutoHyphens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21DBF">
              <w:rPr>
                <w:rFonts w:ascii="Arial" w:hAnsi="Arial" w:cs="Arial"/>
                <w:sz w:val="15"/>
                <w:szCs w:val="15"/>
              </w:rPr>
              <w:t>jeżeli rachunek główny konsolidujący jest powiązany z kredytem w rachunku bieżącym:</w:t>
            </w:r>
          </w:p>
          <w:p w14:paraId="40453362" w14:textId="77777777" w:rsidR="00723FF3" w:rsidRPr="00421DBF" w:rsidRDefault="00723FF3" w:rsidP="00723FF3">
            <w:pPr>
              <w:numPr>
                <w:ilvl w:val="0"/>
                <w:numId w:val="29"/>
              </w:numPr>
              <w:suppressAutoHyphens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21DBF">
              <w:rPr>
                <w:rFonts w:ascii="Arial" w:hAnsi="Arial" w:cs="Arial"/>
                <w:sz w:val="15"/>
                <w:szCs w:val="15"/>
              </w:rPr>
              <w:t xml:space="preserve">salda dodatnie rachunków pomocniczych konsolidowanych pomniejszają wykorzystanie kwoty kredytu, </w:t>
            </w:r>
          </w:p>
          <w:p w14:paraId="39D107E6" w14:textId="77777777" w:rsidR="00723FF3" w:rsidRPr="00421DBF" w:rsidRDefault="00723FF3" w:rsidP="00723FF3">
            <w:pPr>
              <w:numPr>
                <w:ilvl w:val="0"/>
                <w:numId w:val="29"/>
              </w:numPr>
              <w:suppressAutoHyphens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21DBF">
              <w:rPr>
                <w:rFonts w:ascii="Arial" w:hAnsi="Arial" w:cs="Arial"/>
                <w:sz w:val="15"/>
                <w:szCs w:val="15"/>
              </w:rPr>
              <w:t xml:space="preserve">salda ujemne rachunków pomocniczych konsolidowanych powiększają wykorzystanie kwoty kredytu, do wysokości limitu kredytowego. </w:t>
            </w:r>
          </w:p>
          <w:p w14:paraId="2328DF78" w14:textId="77777777" w:rsidR="007A50AB" w:rsidRDefault="007A50AB" w:rsidP="004D3BDD">
            <w:pPr>
              <w:suppressAutoHyphens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7211BB0F" w14:textId="77777777" w:rsidR="00101627" w:rsidRDefault="00101627" w:rsidP="004D3BDD">
            <w:pPr>
              <w:suppressAutoHyphens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2D421EB1" w14:textId="2D81AEE6" w:rsidR="00516749" w:rsidRPr="008D140C" w:rsidRDefault="00516749" w:rsidP="004D3BDD">
            <w:pPr>
              <w:suppressAutoHyphens/>
              <w:jc w:val="both"/>
              <w:rPr>
                <w:rFonts w:ascii="Arial" w:hAnsi="Arial" w:cs="Arial"/>
                <w:sz w:val="15"/>
                <w:szCs w:val="15"/>
                <w:lang w:eastAsia="ar-SA"/>
              </w:rPr>
            </w:pP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t xml:space="preserve">Niniejsza Dyspozycja stanowi integralną część Umowy kompleksowej obsługi rachunków bankowych i jest </w:t>
            </w:r>
            <w:r w:rsidRPr="008D140C">
              <w:rPr>
                <w:rFonts w:ascii="Arial" w:hAnsi="Arial" w:cs="Arial"/>
                <w:sz w:val="15"/>
                <w:szCs w:val="15"/>
                <w:lang w:eastAsia="ar-SA"/>
              </w:rPr>
              <w:t>ważna do odwołania.</w:t>
            </w:r>
          </w:p>
          <w:p w14:paraId="5CA04A09" w14:textId="77777777" w:rsidR="00516749" w:rsidRPr="008D140C" w:rsidRDefault="00516749" w:rsidP="00D15D9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0C451E07" w14:textId="631F7389" w:rsidR="003776C1" w:rsidRDefault="00516749" w:rsidP="004D3BDD">
            <w:pPr>
              <w:suppressAutoHyphens/>
              <w:jc w:val="both"/>
              <w:rPr>
                <w:rFonts w:ascii="Arial" w:hAnsi="Arial" w:cs="Arial"/>
                <w:sz w:val="15"/>
                <w:szCs w:val="15"/>
                <w:lang w:eastAsia="ar-SA"/>
              </w:rPr>
            </w:pPr>
            <w:r w:rsidRPr="008D140C">
              <w:rPr>
                <w:rFonts w:ascii="Arial" w:hAnsi="Arial" w:cs="Arial"/>
                <w:sz w:val="15"/>
                <w:szCs w:val="15"/>
                <w:lang w:eastAsia="ar-SA"/>
              </w:rPr>
              <w:t xml:space="preserve">Klient potwierdza, że przed podpisaniem Dyspozycji </w:t>
            </w:r>
            <w:r w:rsidRPr="006E6CAD">
              <w:rPr>
                <w:rFonts w:ascii="Arial" w:hAnsi="Arial" w:cs="Arial"/>
                <w:sz w:val="15"/>
                <w:szCs w:val="15"/>
                <w:lang w:eastAsia="ar-SA"/>
              </w:rPr>
              <w:t>otrzymał</w:t>
            </w:r>
            <w:r w:rsidR="00C529AB">
              <w:rPr>
                <w:rFonts w:ascii="Arial" w:hAnsi="Arial" w:cs="Arial"/>
                <w:sz w:val="15"/>
                <w:szCs w:val="15"/>
                <w:lang w:eastAsia="ar-SA"/>
              </w:rPr>
              <w:t>:</w:t>
            </w:r>
            <w:r w:rsidRPr="006E6CAD">
              <w:rPr>
                <w:rFonts w:ascii="Arial" w:hAnsi="Arial" w:cs="Arial"/>
                <w:sz w:val="15"/>
                <w:szCs w:val="15"/>
                <w:lang w:eastAsia="ar-SA"/>
              </w:rPr>
              <w:t xml:space="preserve"> </w:t>
            </w:r>
          </w:p>
          <w:p w14:paraId="529DB574" w14:textId="77777777" w:rsidR="003776C1" w:rsidRDefault="003776C1" w:rsidP="004D3BDD">
            <w:pPr>
              <w:suppressAutoHyphens/>
              <w:jc w:val="both"/>
              <w:rPr>
                <w:rFonts w:ascii="Arial" w:hAnsi="Arial" w:cs="Arial"/>
                <w:i/>
                <w:iCs/>
                <w:sz w:val="15"/>
                <w:szCs w:val="15"/>
                <w:lang w:eastAsia="ar-SA"/>
              </w:rPr>
            </w:pP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516749" w:rsidRPr="006E6CAD">
              <w:rPr>
                <w:rFonts w:ascii="Arial" w:hAnsi="Arial" w:cs="Arial"/>
                <w:i/>
                <w:iCs/>
                <w:sz w:val="15"/>
                <w:szCs w:val="15"/>
                <w:lang w:eastAsia="ar-SA"/>
              </w:rPr>
              <w:t xml:space="preserve">Regulamin rachunków bankowych </w:t>
            </w:r>
            <w:r w:rsidR="00832FD3" w:rsidRPr="006E6CAD">
              <w:rPr>
                <w:rFonts w:ascii="Arial" w:hAnsi="Arial" w:cs="Arial"/>
                <w:i/>
                <w:iCs/>
                <w:sz w:val="15"/>
                <w:szCs w:val="15"/>
                <w:lang w:eastAsia="ar-SA"/>
              </w:rPr>
              <w:t xml:space="preserve">dla Klientów instytucjonalnych </w:t>
            </w:r>
            <w:r w:rsidR="00516749" w:rsidRPr="006E6CAD">
              <w:rPr>
                <w:rFonts w:ascii="Arial" w:hAnsi="Arial" w:cs="Arial"/>
                <w:i/>
                <w:iCs/>
                <w:sz w:val="15"/>
                <w:szCs w:val="15"/>
                <w:lang w:eastAsia="ar-SA"/>
              </w:rPr>
              <w:t>w BOŚ S.A.</w:t>
            </w:r>
          </w:p>
          <w:p w14:paraId="074704DA" w14:textId="48A041A2" w:rsidR="003776C1" w:rsidRDefault="003776C1" w:rsidP="004D3BDD">
            <w:pPr>
              <w:suppressAutoHyphens/>
              <w:jc w:val="both"/>
              <w:rPr>
                <w:rFonts w:ascii="Arial" w:hAnsi="Arial" w:cs="Arial"/>
                <w:sz w:val="15"/>
                <w:szCs w:val="15"/>
                <w:lang w:eastAsia="ar-SA"/>
              </w:rPr>
            </w:pP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3776C1">
              <w:rPr>
                <w:rFonts w:ascii="Arial" w:hAnsi="Arial" w:cs="Arial"/>
                <w:i/>
                <w:iCs/>
                <w:sz w:val="15"/>
                <w:szCs w:val="15"/>
                <w:lang w:eastAsia="ar-SA"/>
              </w:rPr>
              <w:t>Regulamin rachunków bankowych dla osób fizycznych prowadzących działalność gospodarczą</w:t>
            </w:r>
            <w:r w:rsidR="00516749" w:rsidRPr="006E6CAD">
              <w:rPr>
                <w:rFonts w:ascii="Arial" w:hAnsi="Arial" w:cs="Arial"/>
                <w:sz w:val="15"/>
                <w:szCs w:val="15"/>
                <w:lang w:eastAsia="ar-SA"/>
              </w:rPr>
              <w:t xml:space="preserve"> </w:t>
            </w:r>
          </w:p>
          <w:p w14:paraId="4A91CD47" w14:textId="77777777" w:rsidR="00516749" w:rsidRPr="008D140C" w:rsidRDefault="00516749" w:rsidP="004D3BDD">
            <w:pPr>
              <w:suppressAutoHyphens/>
              <w:jc w:val="both"/>
              <w:rPr>
                <w:rFonts w:ascii="Arial" w:hAnsi="Arial" w:cs="Arial"/>
                <w:sz w:val="15"/>
                <w:szCs w:val="15"/>
                <w:lang w:eastAsia="ar-SA"/>
              </w:rPr>
            </w:pPr>
            <w:r w:rsidRPr="006E6CAD">
              <w:rPr>
                <w:rFonts w:ascii="Arial" w:hAnsi="Arial" w:cs="Arial"/>
                <w:sz w:val="15"/>
                <w:szCs w:val="15"/>
                <w:lang w:eastAsia="ar-SA"/>
              </w:rPr>
              <w:t>zapoznał</w:t>
            </w:r>
            <w:r w:rsidRPr="008D140C">
              <w:rPr>
                <w:rFonts w:ascii="Arial" w:hAnsi="Arial" w:cs="Arial"/>
                <w:sz w:val="15"/>
                <w:szCs w:val="15"/>
                <w:lang w:eastAsia="ar-SA"/>
              </w:rPr>
              <w:t xml:space="preserve"> się z nim i akceptuje zasady funkcjonowania konsolidacji sald w nim określone.</w:t>
            </w:r>
          </w:p>
          <w:p w14:paraId="567CEB77" w14:textId="77777777" w:rsidR="00516749" w:rsidRPr="008D140C" w:rsidRDefault="00516749" w:rsidP="004D3BDD">
            <w:pPr>
              <w:suppressAutoHyphens/>
              <w:jc w:val="both"/>
              <w:rPr>
                <w:rFonts w:ascii="Arial" w:hAnsi="Arial" w:cs="Arial"/>
                <w:sz w:val="15"/>
                <w:szCs w:val="15"/>
                <w:lang w:eastAsia="ar-SA"/>
              </w:rPr>
            </w:pPr>
          </w:p>
          <w:p w14:paraId="116229CC" w14:textId="77777777" w:rsidR="00516749" w:rsidRPr="008D140C" w:rsidRDefault="00516749" w:rsidP="004D3BDD">
            <w:pPr>
              <w:suppressAutoHyphens/>
              <w:jc w:val="both"/>
              <w:rPr>
                <w:rFonts w:ascii="Arial" w:hAnsi="Arial" w:cs="Arial"/>
                <w:sz w:val="15"/>
                <w:szCs w:val="15"/>
                <w:lang w:eastAsia="ar-SA"/>
              </w:rPr>
            </w:pPr>
          </w:p>
          <w:p w14:paraId="1B67EE8E" w14:textId="77777777" w:rsidR="00983BA7" w:rsidRDefault="00983BA7" w:rsidP="0022513A">
            <w:pPr>
              <w:suppressAutoHyphens/>
              <w:ind w:left="720"/>
              <w:jc w:val="both"/>
              <w:rPr>
                <w:rFonts w:ascii="Arial" w:hAnsi="Arial" w:cs="Arial"/>
                <w:sz w:val="15"/>
                <w:szCs w:val="15"/>
                <w:lang w:eastAsia="ar-SA"/>
              </w:rPr>
            </w:pPr>
          </w:p>
          <w:p w14:paraId="7D377D0C" w14:textId="77777777" w:rsidR="00D85191" w:rsidRDefault="00D85191" w:rsidP="0022513A">
            <w:pPr>
              <w:suppressAutoHyphens/>
              <w:ind w:left="720"/>
              <w:jc w:val="both"/>
              <w:rPr>
                <w:rFonts w:ascii="Arial" w:hAnsi="Arial" w:cs="Arial"/>
                <w:sz w:val="15"/>
                <w:szCs w:val="15"/>
                <w:lang w:eastAsia="ar-SA"/>
              </w:rPr>
            </w:pPr>
          </w:p>
          <w:p w14:paraId="54C52FCB" w14:textId="77777777" w:rsidR="00516749" w:rsidRPr="008D140C" w:rsidRDefault="00516749" w:rsidP="00D15D9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BC75118" w14:textId="77777777" w:rsidR="00516749" w:rsidRPr="008D140C" w:rsidRDefault="00516749" w:rsidP="00C0118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516749" w:rsidRPr="008D140C" w14:paraId="69A3DA42" w14:textId="77777777" w:rsidTr="00E23CDF">
        <w:trPr>
          <w:trHeight w:val="284"/>
        </w:trPr>
        <w:tc>
          <w:tcPr>
            <w:tcW w:w="5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287B94" w14:textId="77777777" w:rsidR="00516749" w:rsidRPr="008D140C" w:rsidRDefault="00516749" w:rsidP="0093680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9D241" w14:textId="77777777" w:rsidR="00516749" w:rsidRPr="008D140C" w:rsidRDefault="00516749" w:rsidP="0093680F">
            <w:pPr>
              <w:rPr>
                <w:rFonts w:ascii="Arial" w:hAnsi="Arial" w:cs="Arial"/>
                <w:color w:val="000000"/>
              </w:rPr>
            </w:pPr>
          </w:p>
        </w:tc>
      </w:tr>
      <w:tr w:rsidR="00516749" w:rsidRPr="008D140C" w14:paraId="74812F66" w14:textId="77777777" w:rsidTr="00E23CDF">
        <w:trPr>
          <w:trHeight w:val="284"/>
        </w:trPr>
        <w:tc>
          <w:tcPr>
            <w:tcW w:w="5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F8FD3A" w14:textId="77777777" w:rsidR="00516749" w:rsidRPr="008D140C" w:rsidRDefault="00516749" w:rsidP="0093680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77F72" w14:textId="77777777" w:rsidR="00516749" w:rsidRPr="008D140C" w:rsidRDefault="00516749" w:rsidP="0093680F">
            <w:pPr>
              <w:rPr>
                <w:rFonts w:ascii="Arial" w:hAnsi="Arial" w:cs="Arial"/>
                <w:color w:val="000000"/>
              </w:rPr>
            </w:pPr>
          </w:p>
        </w:tc>
      </w:tr>
      <w:tr w:rsidR="00516749" w:rsidRPr="008D140C" w14:paraId="0D811D9F" w14:textId="77777777" w:rsidTr="00E23CDF">
        <w:trPr>
          <w:trHeight w:val="60"/>
        </w:trPr>
        <w:tc>
          <w:tcPr>
            <w:tcW w:w="5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0446FB" w14:textId="77777777" w:rsidR="00516749" w:rsidRPr="008D140C" w:rsidRDefault="00516749" w:rsidP="0093680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3C675" w14:textId="77777777" w:rsidR="00516749" w:rsidRPr="008D140C" w:rsidRDefault="00516749" w:rsidP="0093680F">
            <w:pPr>
              <w:rPr>
                <w:rFonts w:ascii="Arial" w:hAnsi="Arial" w:cs="Arial"/>
                <w:color w:val="000000"/>
              </w:rPr>
            </w:pPr>
          </w:p>
        </w:tc>
      </w:tr>
      <w:tr w:rsidR="00516749" w:rsidRPr="008D140C" w14:paraId="4030740C" w14:textId="77777777" w:rsidTr="00E23CDF">
        <w:trPr>
          <w:trHeight w:val="284"/>
        </w:trPr>
        <w:tc>
          <w:tcPr>
            <w:tcW w:w="5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5A0932" w14:textId="77777777" w:rsidR="00516749" w:rsidRPr="008D140C" w:rsidRDefault="00516749" w:rsidP="0093680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91FC" w14:textId="77777777" w:rsidR="00516749" w:rsidRPr="008D140C" w:rsidRDefault="00D31A4A" w:rsidP="008F30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Pieczątka firmowa</w:t>
            </w:r>
            <w:r w:rsidR="00516749" w:rsidRPr="008D140C">
              <w:rPr>
                <w:rFonts w:ascii="Arial" w:hAnsi="Arial" w:cs="Arial"/>
                <w:color w:val="000000"/>
                <w:sz w:val="10"/>
                <w:szCs w:val="10"/>
              </w:rPr>
              <w:t xml:space="preserve"> Klienta i podpis osób działających w imieniu Klienta</w:t>
            </w:r>
            <w:r w:rsidR="00EB4397">
              <w:rPr>
                <w:rFonts w:ascii="Arial" w:hAnsi="Arial" w:cs="Arial"/>
                <w:color w:val="000000"/>
                <w:sz w:val="10"/>
                <w:szCs w:val="10"/>
              </w:rPr>
              <w:t xml:space="preserve"> lub podpis elektroniczny</w:t>
            </w:r>
          </w:p>
        </w:tc>
      </w:tr>
      <w:tr w:rsidR="00516749" w:rsidRPr="008D140C" w14:paraId="5CD9A229" w14:textId="77777777" w:rsidTr="00E23CDF">
        <w:trPr>
          <w:trHeight w:val="50"/>
        </w:trPr>
        <w:tc>
          <w:tcPr>
            <w:tcW w:w="5415" w:type="dxa"/>
            <w:tcBorders>
              <w:top w:val="nil"/>
              <w:left w:val="nil"/>
              <w:bottom w:val="nil"/>
            </w:tcBorders>
            <w:vAlign w:val="center"/>
          </w:tcPr>
          <w:p w14:paraId="1DE0C1CF" w14:textId="77777777" w:rsidR="00516749" w:rsidRPr="008D140C" w:rsidRDefault="00516749" w:rsidP="0098741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8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277E6AF" w14:textId="77777777" w:rsidR="00516749" w:rsidRPr="008D140C" w:rsidRDefault="00516749" w:rsidP="0098741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16749" w:rsidRPr="008D140C" w14:paraId="196AD934" w14:textId="77777777" w:rsidTr="00E23CDF">
        <w:trPr>
          <w:trHeight w:val="227"/>
        </w:trPr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2EEFE3" w14:textId="43299194" w:rsidR="00516749" w:rsidRDefault="00EB4397" w:rsidP="008159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Stwierdzam t</w:t>
            </w:r>
            <w:r w:rsidR="00516749" w:rsidRPr="008D140C">
              <w:rPr>
                <w:rFonts w:ascii="Arial" w:hAnsi="Arial" w:cs="Arial"/>
                <w:color w:val="000000"/>
                <w:sz w:val="15"/>
                <w:szCs w:val="15"/>
              </w:rPr>
              <w:t>ożsamość osób i własnoręczność podpisów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zgodnie z Kartą wzorów podpisów (dotyczy podpisów składanych własnoręcznie)</w:t>
            </w:r>
          </w:p>
          <w:p w14:paraId="37B5AE02" w14:textId="77777777" w:rsidR="00EB4397" w:rsidRDefault="00EB4397" w:rsidP="00EB439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B4397">
              <w:rPr>
                <w:rFonts w:ascii="Arial" w:hAnsi="Arial" w:cs="Arial"/>
                <w:color w:val="000000"/>
                <w:sz w:val="15"/>
                <w:szCs w:val="15"/>
              </w:rPr>
              <w:t xml:space="preserve">Potwierdzam, że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dokument</w:t>
            </w:r>
            <w:r w:rsidRPr="00EB4397">
              <w:rPr>
                <w:rFonts w:ascii="Arial" w:hAnsi="Arial" w:cs="Arial"/>
                <w:color w:val="000000"/>
                <w:sz w:val="15"/>
                <w:szCs w:val="15"/>
              </w:rPr>
              <w:t xml:space="preserve"> został podpisan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y</w:t>
            </w:r>
            <w:r w:rsidRPr="00EB4397">
              <w:rPr>
                <w:rFonts w:ascii="Arial" w:hAnsi="Arial" w:cs="Arial"/>
                <w:color w:val="000000"/>
                <w:sz w:val="15"/>
                <w:szCs w:val="15"/>
              </w:rPr>
              <w:t xml:space="preserve"> przez osoby upoważnione do reprezentacji Klienta oraz potwierdzam weryfikację podpisów elektronicznych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(dotyczy podpisów elektronicznych)</w:t>
            </w:r>
          </w:p>
          <w:p w14:paraId="4FE154B3" w14:textId="77777777" w:rsidR="00EB4397" w:rsidRPr="008D140C" w:rsidRDefault="00EB4397" w:rsidP="00EB439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B25EE" w14:textId="77777777" w:rsidR="00516749" w:rsidRPr="008D140C" w:rsidRDefault="00516749" w:rsidP="004A25E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16749" w:rsidRPr="008D140C" w14:paraId="3BDD1230" w14:textId="77777777" w:rsidTr="00E23CDF">
        <w:trPr>
          <w:trHeight w:val="34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B6D25" w14:textId="77777777" w:rsidR="00516749" w:rsidRPr="008D140C" w:rsidRDefault="00516749" w:rsidP="00B51EB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6E255" w14:textId="2CC2BB93" w:rsidR="00516749" w:rsidRPr="008D140C" w:rsidRDefault="00516749" w:rsidP="00B51EB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t xml:space="preserve">Data przyjęcia </w:t>
            </w:r>
            <w:r w:rsidR="008D3BAD">
              <w:rPr>
                <w:rFonts w:ascii="Arial" w:hAnsi="Arial" w:cs="Arial"/>
                <w:color w:val="000000"/>
                <w:sz w:val="15"/>
                <w:szCs w:val="15"/>
              </w:rPr>
              <w:t>dyspozycji</w:t>
            </w:r>
            <w:r w:rsidR="008D3BAD" w:rsidRPr="008D140C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8D140C">
              <w:rPr>
                <w:rFonts w:ascii="Arial" w:hAnsi="Arial" w:cs="Arial"/>
                <w:color w:val="000000"/>
                <w:sz w:val="15"/>
                <w:szCs w:val="15"/>
              </w:rPr>
              <w:t>przez Placówkę Banku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B211" w14:textId="77777777" w:rsidR="00516749" w:rsidRPr="008D140C" w:rsidRDefault="00516749" w:rsidP="00B51EB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516749" w:rsidRPr="008D140C" w14:paraId="13F863AB" w14:textId="77777777" w:rsidTr="00E23CDF">
        <w:trPr>
          <w:trHeight w:val="340"/>
        </w:trPr>
        <w:tc>
          <w:tcPr>
            <w:tcW w:w="5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F9760" w14:textId="77777777" w:rsidR="00516749" w:rsidRPr="008D140C" w:rsidRDefault="00516749" w:rsidP="00B51EB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02F12D9" w14:textId="77777777" w:rsidR="00516749" w:rsidRPr="008D140C" w:rsidRDefault="00516749" w:rsidP="00B51EB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F2C18E" w14:textId="77777777" w:rsidR="00516749" w:rsidRPr="008D140C" w:rsidRDefault="00516749" w:rsidP="00B51EB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516749" w:rsidRPr="008D140C" w14:paraId="51A3B06A" w14:textId="77777777" w:rsidTr="00E23CDF">
        <w:trPr>
          <w:trHeight w:val="34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4CFF" w14:textId="77777777" w:rsidR="00516749" w:rsidRDefault="00D31A4A" w:rsidP="00D31A4A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Pieczątka imienna</w:t>
            </w:r>
            <w:r w:rsidR="00516749" w:rsidRPr="008D140C">
              <w:rPr>
                <w:rFonts w:ascii="Arial" w:hAnsi="Arial" w:cs="Arial"/>
                <w:color w:val="000000"/>
                <w:sz w:val="10"/>
                <w:szCs w:val="10"/>
              </w:rPr>
              <w:t xml:space="preserve"> i podpis pracownika Banku przyjmującego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t>Dyspozycję</w:t>
            </w:r>
          </w:p>
          <w:p w14:paraId="14DA9D1E" w14:textId="77777777" w:rsidR="00EB4397" w:rsidRPr="008D140C" w:rsidRDefault="00EB4397" w:rsidP="00D31A4A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lub podpis elektroniczny pracownika Banku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A5082" w14:textId="77777777" w:rsidR="00516749" w:rsidRPr="008D140C" w:rsidRDefault="00516749" w:rsidP="00B51EB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697F3F13" w14:textId="77777777" w:rsidR="00516749" w:rsidRPr="008D140C" w:rsidRDefault="00516749" w:rsidP="00B51EB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p w14:paraId="0FB3BDA9" w14:textId="77777777" w:rsidR="00A9423D" w:rsidRDefault="00A9423D" w:rsidP="005134D3">
      <w:pPr>
        <w:rPr>
          <w:rFonts w:ascii="Arial" w:hAnsi="Arial" w:cs="Arial"/>
          <w:color w:val="000000"/>
          <w:sz w:val="4"/>
          <w:szCs w:val="4"/>
        </w:rPr>
      </w:pPr>
    </w:p>
    <w:p w14:paraId="7D7FA620" w14:textId="77777777" w:rsidR="00622041" w:rsidRDefault="00622041" w:rsidP="005134D3">
      <w:pPr>
        <w:rPr>
          <w:rFonts w:ascii="Arial" w:hAnsi="Arial" w:cs="Arial"/>
          <w:color w:val="000000"/>
          <w:sz w:val="4"/>
          <w:szCs w:val="4"/>
        </w:rPr>
      </w:pPr>
    </w:p>
    <w:p w14:paraId="56D3F414" w14:textId="252ECE60" w:rsidR="00622041" w:rsidRPr="008D140C" w:rsidRDefault="00622041" w:rsidP="005134D3">
      <w:pPr>
        <w:rPr>
          <w:rFonts w:ascii="Arial" w:hAnsi="Arial" w:cs="Arial"/>
          <w:color w:val="000000"/>
          <w:sz w:val="4"/>
          <w:szCs w:val="4"/>
        </w:rPr>
      </w:pPr>
    </w:p>
    <w:sectPr w:rsidR="00622041" w:rsidRPr="008D140C" w:rsidSect="00EF4782">
      <w:footerReference w:type="default" r:id="rId10"/>
      <w:headerReference w:type="first" r:id="rId11"/>
      <w:footerReference w:type="first" r:id="rId12"/>
      <w:pgSz w:w="11906" w:h="16838" w:code="9"/>
      <w:pgMar w:top="856" w:right="607" w:bottom="180" w:left="60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99D0" w14:textId="77777777" w:rsidR="00BA7412" w:rsidRDefault="00BA7412">
      <w:r>
        <w:separator/>
      </w:r>
    </w:p>
  </w:endnote>
  <w:endnote w:type="continuationSeparator" w:id="0">
    <w:p w14:paraId="339C9263" w14:textId="77777777" w:rsidR="00BA7412" w:rsidRDefault="00BA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B188" w14:textId="77777777" w:rsidR="00F70F52" w:rsidRPr="00E26DD9" w:rsidRDefault="00F70F52" w:rsidP="00A9423D">
    <w:pPr>
      <w:pStyle w:val="Stopka"/>
      <w:framePr w:w="1440" w:wrap="auto" w:vAnchor="text" w:hAnchor="page" w:x="5068" w:y="16"/>
      <w:jc w:val="center"/>
      <w:rPr>
        <w:rStyle w:val="Numerstrony"/>
        <w:rFonts w:ascii="Arial" w:hAnsi="Arial" w:cs="Arial"/>
        <w:sz w:val="15"/>
        <w:szCs w:val="15"/>
      </w:rPr>
    </w:pPr>
    <w:r w:rsidRPr="00E26DD9">
      <w:rPr>
        <w:rStyle w:val="Numerstrony"/>
        <w:rFonts w:ascii="Arial" w:hAnsi="Arial" w:cs="Arial"/>
        <w:sz w:val="15"/>
        <w:szCs w:val="15"/>
      </w:rPr>
      <w:t xml:space="preserve">Strona </w:t>
    </w:r>
    <w:r w:rsidRPr="00E26DD9">
      <w:rPr>
        <w:rStyle w:val="Numerstrony"/>
        <w:rFonts w:ascii="Arial" w:hAnsi="Arial" w:cs="Arial"/>
        <w:sz w:val="15"/>
        <w:szCs w:val="15"/>
      </w:rPr>
      <w:fldChar w:fldCharType="begin"/>
    </w:r>
    <w:r w:rsidRPr="00E26DD9">
      <w:rPr>
        <w:rStyle w:val="Numerstrony"/>
        <w:rFonts w:ascii="Arial" w:hAnsi="Arial" w:cs="Arial"/>
        <w:sz w:val="15"/>
        <w:szCs w:val="15"/>
      </w:rPr>
      <w:instrText xml:space="preserve"> PAGE </w:instrText>
    </w:r>
    <w:r w:rsidRPr="00E26DD9">
      <w:rPr>
        <w:rStyle w:val="Numerstrony"/>
        <w:rFonts w:ascii="Arial" w:hAnsi="Arial" w:cs="Arial"/>
        <w:sz w:val="15"/>
        <w:szCs w:val="15"/>
      </w:rPr>
      <w:fldChar w:fldCharType="separate"/>
    </w:r>
    <w:r>
      <w:rPr>
        <w:rStyle w:val="Numerstrony"/>
        <w:rFonts w:ascii="Arial" w:hAnsi="Arial" w:cs="Arial"/>
        <w:noProof/>
        <w:sz w:val="15"/>
        <w:szCs w:val="15"/>
      </w:rPr>
      <w:t>2</w:t>
    </w:r>
    <w:r w:rsidRPr="00E26DD9">
      <w:rPr>
        <w:rStyle w:val="Numerstrony"/>
        <w:rFonts w:ascii="Arial" w:hAnsi="Arial" w:cs="Arial"/>
        <w:sz w:val="15"/>
        <w:szCs w:val="15"/>
      </w:rPr>
      <w:fldChar w:fldCharType="end"/>
    </w:r>
    <w:r w:rsidRPr="00E26DD9">
      <w:rPr>
        <w:rStyle w:val="Numerstrony"/>
        <w:rFonts w:ascii="Arial" w:hAnsi="Arial" w:cs="Arial"/>
        <w:sz w:val="15"/>
        <w:szCs w:val="15"/>
      </w:rPr>
      <w:t>/</w:t>
    </w:r>
    <w:r w:rsidRPr="00E26DD9">
      <w:rPr>
        <w:rStyle w:val="Numerstrony"/>
        <w:rFonts w:ascii="Arial" w:hAnsi="Arial" w:cs="Arial"/>
        <w:sz w:val="15"/>
        <w:szCs w:val="15"/>
      </w:rPr>
      <w:fldChar w:fldCharType="begin"/>
    </w:r>
    <w:r w:rsidRPr="00E26DD9">
      <w:rPr>
        <w:rStyle w:val="Numerstrony"/>
        <w:rFonts w:ascii="Arial" w:hAnsi="Arial" w:cs="Arial"/>
        <w:sz w:val="15"/>
        <w:szCs w:val="15"/>
      </w:rPr>
      <w:instrText xml:space="preserve"> NUMPAGES </w:instrText>
    </w:r>
    <w:r w:rsidRPr="00E26DD9">
      <w:rPr>
        <w:rStyle w:val="Numerstrony"/>
        <w:rFonts w:ascii="Arial" w:hAnsi="Arial" w:cs="Arial"/>
        <w:sz w:val="15"/>
        <w:szCs w:val="15"/>
      </w:rPr>
      <w:fldChar w:fldCharType="separate"/>
    </w:r>
    <w:r w:rsidR="003E611C">
      <w:rPr>
        <w:rStyle w:val="Numerstrony"/>
        <w:rFonts w:ascii="Arial" w:hAnsi="Arial" w:cs="Arial"/>
        <w:noProof/>
        <w:sz w:val="15"/>
        <w:szCs w:val="15"/>
      </w:rPr>
      <w:t>1</w:t>
    </w:r>
    <w:r w:rsidRPr="00E26DD9">
      <w:rPr>
        <w:rStyle w:val="Numerstrony"/>
        <w:rFonts w:ascii="Arial" w:hAnsi="Arial" w:cs="Arial"/>
        <w:sz w:val="15"/>
        <w:szCs w:val="15"/>
      </w:rPr>
      <w:fldChar w:fldCharType="end"/>
    </w:r>
  </w:p>
  <w:p w14:paraId="145B57C5" w14:textId="77777777" w:rsidR="00F70F52" w:rsidRDefault="00F70F52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E276" w14:textId="77777777" w:rsidR="00F70F52" w:rsidRPr="00525F88" w:rsidRDefault="00F70F52" w:rsidP="008F303C">
    <w:pPr>
      <w:pStyle w:val="Stopka"/>
      <w:jc w:val="right"/>
      <w:rPr>
        <w:rFonts w:ascii="Arial" w:hAnsi="Arial" w:cs="Arial"/>
        <w:sz w:val="10"/>
        <w:szCs w:val="10"/>
      </w:rPr>
    </w:pPr>
  </w:p>
  <w:p w14:paraId="465FC253" w14:textId="77777777" w:rsidR="00EB1D0E" w:rsidRDefault="00EB1D0E" w:rsidP="00EB1D0E">
    <w:pPr>
      <w:pStyle w:val="Stopka"/>
      <w:framePr w:w="1440" w:wrap="auto" w:vAnchor="text" w:hAnchor="page" w:x="5085" w:y="113"/>
      <w:jc w:val="center"/>
      <w:rPr>
        <w:rStyle w:val="Numerstrony"/>
        <w:rFonts w:ascii="Arial" w:hAnsi="Arial" w:cs="Arial"/>
        <w:sz w:val="15"/>
        <w:szCs w:val="15"/>
      </w:rPr>
    </w:pPr>
    <w:r>
      <w:rPr>
        <w:rStyle w:val="Numerstrony"/>
        <w:rFonts w:ascii="Arial" w:hAnsi="Arial" w:cs="Arial"/>
        <w:sz w:val="15"/>
        <w:szCs w:val="15"/>
      </w:rPr>
      <w:t xml:space="preserve">Strona </w:t>
    </w:r>
    <w:r>
      <w:rPr>
        <w:rStyle w:val="Numerstrony"/>
        <w:rFonts w:ascii="Arial" w:hAnsi="Arial" w:cs="Arial"/>
        <w:sz w:val="15"/>
        <w:szCs w:val="15"/>
      </w:rPr>
      <w:fldChar w:fldCharType="begin"/>
    </w:r>
    <w:r>
      <w:rPr>
        <w:rStyle w:val="Numerstrony"/>
        <w:rFonts w:ascii="Arial" w:hAnsi="Arial" w:cs="Arial"/>
        <w:sz w:val="15"/>
        <w:szCs w:val="15"/>
      </w:rPr>
      <w:instrText xml:space="preserve"> PAGE </w:instrText>
    </w:r>
    <w:r>
      <w:rPr>
        <w:rStyle w:val="Numerstrony"/>
        <w:rFonts w:ascii="Arial" w:hAnsi="Arial" w:cs="Arial"/>
        <w:sz w:val="15"/>
        <w:szCs w:val="15"/>
      </w:rPr>
      <w:fldChar w:fldCharType="separate"/>
    </w:r>
    <w:r w:rsidR="00096AC0">
      <w:rPr>
        <w:rStyle w:val="Numerstrony"/>
        <w:rFonts w:ascii="Arial" w:hAnsi="Arial" w:cs="Arial"/>
        <w:noProof/>
        <w:sz w:val="15"/>
        <w:szCs w:val="15"/>
      </w:rPr>
      <w:t>1</w:t>
    </w:r>
    <w:r>
      <w:rPr>
        <w:rStyle w:val="Numerstrony"/>
        <w:rFonts w:ascii="Arial" w:hAnsi="Arial" w:cs="Arial"/>
        <w:sz w:val="15"/>
        <w:szCs w:val="15"/>
      </w:rPr>
      <w:fldChar w:fldCharType="end"/>
    </w:r>
    <w:r>
      <w:rPr>
        <w:rStyle w:val="Numerstrony"/>
        <w:rFonts w:ascii="Arial" w:hAnsi="Arial" w:cs="Arial"/>
        <w:sz w:val="15"/>
        <w:szCs w:val="15"/>
      </w:rPr>
      <w:t>/</w:t>
    </w:r>
    <w:r>
      <w:rPr>
        <w:rStyle w:val="Numerstrony"/>
        <w:rFonts w:ascii="Arial" w:hAnsi="Arial" w:cs="Arial"/>
        <w:sz w:val="15"/>
        <w:szCs w:val="15"/>
      </w:rPr>
      <w:fldChar w:fldCharType="begin"/>
    </w:r>
    <w:r>
      <w:rPr>
        <w:rStyle w:val="Numerstrony"/>
        <w:rFonts w:ascii="Arial" w:hAnsi="Arial" w:cs="Arial"/>
        <w:sz w:val="15"/>
        <w:szCs w:val="15"/>
      </w:rPr>
      <w:instrText xml:space="preserve"> NUMPAGES </w:instrText>
    </w:r>
    <w:r>
      <w:rPr>
        <w:rStyle w:val="Numerstrony"/>
        <w:rFonts w:ascii="Arial" w:hAnsi="Arial" w:cs="Arial"/>
        <w:sz w:val="15"/>
        <w:szCs w:val="15"/>
      </w:rPr>
      <w:fldChar w:fldCharType="separate"/>
    </w:r>
    <w:r w:rsidR="00096AC0">
      <w:rPr>
        <w:rStyle w:val="Numerstrony"/>
        <w:rFonts w:ascii="Arial" w:hAnsi="Arial" w:cs="Arial"/>
        <w:noProof/>
        <w:sz w:val="15"/>
        <w:szCs w:val="15"/>
      </w:rPr>
      <w:t>1</w:t>
    </w:r>
    <w:r>
      <w:rPr>
        <w:rStyle w:val="Numerstrony"/>
        <w:rFonts w:ascii="Arial" w:hAnsi="Arial" w:cs="Arial"/>
        <w:sz w:val="15"/>
        <w:szCs w:val="15"/>
      </w:rPr>
      <w:fldChar w:fldCharType="end"/>
    </w:r>
  </w:p>
  <w:p w14:paraId="62AED4EC" w14:textId="77777777" w:rsidR="00F70F52" w:rsidRPr="00250203" w:rsidRDefault="00F70F52" w:rsidP="00EB1D0E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AF03" w14:textId="77777777" w:rsidR="00BA7412" w:rsidRDefault="00BA7412">
      <w:r>
        <w:separator/>
      </w:r>
    </w:p>
  </w:footnote>
  <w:footnote w:type="continuationSeparator" w:id="0">
    <w:p w14:paraId="0E294A42" w14:textId="77777777" w:rsidR="00BA7412" w:rsidRDefault="00BA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6A15" w14:textId="77777777" w:rsidR="00C265F1" w:rsidRDefault="00C265F1" w:rsidP="007D46DC">
    <w:pPr>
      <w:pStyle w:val="Nagwek"/>
      <w:rPr>
        <w:rFonts w:ascii="Arial" w:hAnsi="Arial" w:cs="Arial"/>
        <w:color w:val="343434"/>
        <w:sz w:val="15"/>
        <w:szCs w:val="15"/>
      </w:rPr>
    </w:pPr>
  </w:p>
  <w:p w14:paraId="61BF9364" w14:textId="63D76ECB" w:rsidR="00F70F52" w:rsidRPr="008F303C" w:rsidRDefault="001429E2" w:rsidP="002C16E4">
    <w:pPr>
      <w:ind w:left="5664" w:hanging="5664"/>
      <w:jc w:val="both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86E4D63" wp14:editId="36E3FFC1">
          <wp:simplePos x="0" y="0"/>
          <wp:positionH relativeFrom="column">
            <wp:posOffset>-342900</wp:posOffset>
          </wp:positionH>
          <wp:positionV relativeFrom="paragraph">
            <wp:posOffset>-485140</wp:posOffset>
          </wp:positionV>
          <wp:extent cx="1251585" cy="129921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299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60DA"/>
    <w:multiLevelType w:val="hybridMultilevel"/>
    <w:tmpl w:val="B504F616"/>
    <w:lvl w:ilvl="0" w:tplc="21ECBFF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21EF7"/>
    <w:multiLevelType w:val="hybridMultilevel"/>
    <w:tmpl w:val="681A28C0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8264420"/>
    <w:multiLevelType w:val="hybridMultilevel"/>
    <w:tmpl w:val="7DB88D8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01A2A"/>
    <w:multiLevelType w:val="hybridMultilevel"/>
    <w:tmpl w:val="F3E080AC"/>
    <w:lvl w:ilvl="0" w:tplc="04150001">
      <w:start w:val="1"/>
      <w:numFmt w:val="bullet"/>
      <w:lvlText w:val=""/>
      <w:lvlJc w:val="left"/>
      <w:pPr>
        <w:tabs>
          <w:tab w:val="num" w:pos="1166"/>
        </w:tabs>
        <w:ind w:left="116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90794E"/>
    <w:multiLevelType w:val="hybridMultilevel"/>
    <w:tmpl w:val="192C1B4E"/>
    <w:lvl w:ilvl="0" w:tplc="3E387F9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48C4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A5D10"/>
    <w:multiLevelType w:val="multilevel"/>
    <w:tmpl w:val="C1464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4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5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80360"/>
    <w:multiLevelType w:val="hybridMultilevel"/>
    <w:tmpl w:val="786A2110"/>
    <w:lvl w:ilvl="0" w:tplc="1CF069E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10011DF5"/>
    <w:multiLevelType w:val="hybridMultilevel"/>
    <w:tmpl w:val="0C2EB0C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  <w:sz w:val="15"/>
        <w:szCs w:val="15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CD7869"/>
    <w:multiLevelType w:val="hybridMultilevel"/>
    <w:tmpl w:val="52C4AD18"/>
    <w:lvl w:ilvl="0" w:tplc="04150001">
      <w:start w:val="1"/>
      <w:numFmt w:val="bullet"/>
      <w:lvlText w:val=""/>
      <w:lvlJc w:val="left"/>
      <w:pPr>
        <w:tabs>
          <w:tab w:val="num" w:pos="1166"/>
        </w:tabs>
        <w:ind w:left="116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2D47731"/>
    <w:multiLevelType w:val="multilevel"/>
    <w:tmpl w:val="192C1B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65646"/>
    <w:multiLevelType w:val="multilevel"/>
    <w:tmpl w:val="D00E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4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5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922F80"/>
    <w:multiLevelType w:val="hybridMultilevel"/>
    <w:tmpl w:val="F5EAD12A"/>
    <w:lvl w:ilvl="0" w:tplc="5804F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74467"/>
    <w:multiLevelType w:val="hybridMultilevel"/>
    <w:tmpl w:val="DAF81C8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35C7BEF"/>
    <w:multiLevelType w:val="singleLevel"/>
    <w:tmpl w:val="C09CB830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20"/>
      </w:pPr>
      <w:rPr>
        <w:rFonts w:hint="default"/>
      </w:rPr>
    </w:lvl>
  </w:abstractNum>
  <w:abstractNum w:abstractNumId="14" w15:restartNumberingAfterBreak="0">
    <w:nsid w:val="336C625B"/>
    <w:multiLevelType w:val="hybridMultilevel"/>
    <w:tmpl w:val="3AF41236"/>
    <w:lvl w:ilvl="0" w:tplc="5804F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8AC2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80CF64">
      <w:start w:val="1"/>
      <w:numFmt w:val="none"/>
      <w:lvlText w:val="4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FCCC64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E82FA14">
      <w:start w:val="5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88617DC">
      <w:start w:val="3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D6BC9E52">
      <w:start w:val="2"/>
      <w:numFmt w:val="decimal"/>
      <w:lvlText w:val="%7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6D733D"/>
    <w:multiLevelType w:val="hybridMultilevel"/>
    <w:tmpl w:val="0CE63F40"/>
    <w:lvl w:ilvl="0" w:tplc="0415000B">
      <w:start w:val="1"/>
      <w:numFmt w:val="bullet"/>
      <w:lvlText w:val=""/>
      <w:lvlJc w:val="left"/>
      <w:pPr>
        <w:tabs>
          <w:tab w:val="num" w:pos="1166"/>
        </w:tabs>
        <w:ind w:left="1166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6E7F3B"/>
    <w:multiLevelType w:val="hybridMultilevel"/>
    <w:tmpl w:val="5C3CDF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845C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FE7A7C"/>
    <w:multiLevelType w:val="singleLevel"/>
    <w:tmpl w:val="0D409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3DBD3AF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14B1BB1"/>
    <w:multiLevelType w:val="hybridMultilevel"/>
    <w:tmpl w:val="6644BA6C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545B7B86"/>
    <w:multiLevelType w:val="hybridMultilevel"/>
    <w:tmpl w:val="4C024D02"/>
    <w:lvl w:ilvl="0" w:tplc="04150005">
      <w:start w:val="1"/>
      <w:numFmt w:val="bullet"/>
      <w:lvlText w:val=""/>
      <w:lvlJc w:val="left"/>
      <w:pPr>
        <w:tabs>
          <w:tab w:val="num" w:pos="1166"/>
        </w:tabs>
        <w:ind w:left="1166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0C697E"/>
    <w:multiLevelType w:val="hybridMultilevel"/>
    <w:tmpl w:val="C67C2072"/>
    <w:lvl w:ilvl="0" w:tplc="AB4C0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98583E"/>
    <w:multiLevelType w:val="hybridMultilevel"/>
    <w:tmpl w:val="246CC586"/>
    <w:lvl w:ilvl="0" w:tplc="3E387F9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2C22B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A34FA"/>
    <w:multiLevelType w:val="hybridMultilevel"/>
    <w:tmpl w:val="4AAAB3E2"/>
    <w:lvl w:ilvl="0" w:tplc="04150011">
      <w:start w:val="1"/>
      <w:numFmt w:val="decimal"/>
      <w:lvlText w:val="%1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4" w15:restartNumberingAfterBreak="0">
    <w:nsid w:val="687E7CB3"/>
    <w:multiLevelType w:val="multilevel"/>
    <w:tmpl w:val="FB64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4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5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A111F3"/>
    <w:multiLevelType w:val="hybridMultilevel"/>
    <w:tmpl w:val="EB909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5133A6"/>
    <w:multiLevelType w:val="hybridMultilevel"/>
    <w:tmpl w:val="321CABF8"/>
    <w:lvl w:ilvl="0" w:tplc="978C5FF8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032C6"/>
    <w:multiLevelType w:val="hybridMultilevel"/>
    <w:tmpl w:val="07C08B7C"/>
    <w:lvl w:ilvl="0" w:tplc="2BCCAAA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1B4368"/>
    <w:multiLevelType w:val="singleLevel"/>
    <w:tmpl w:val="0D409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863011278">
    <w:abstractNumId w:val="28"/>
  </w:num>
  <w:num w:numId="2" w16cid:durableId="1510487366">
    <w:abstractNumId w:val="17"/>
  </w:num>
  <w:num w:numId="3" w16cid:durableId="89855234">
    <w:abstractNumId w:val="15"/>
  </w:num>
  <w:num w:numId="4" w16cid:durableId="609356763">
    <w:abstractNumId w:val="12"/>
  </w:num>
  <w:num w:numId="5" w16cid:durableId="1975478024">
    <w:abstractNumId w:val="8"/>
  </w:num>
  <w:num w:numId="6" w16cid:durableId="1562859788">
    <w:abstractNumId w:val="3"/>
  </w:num>
  <w:num w:numId="7" w16cid:durableId="1813520282">
    <w:abstractNumId w:val="20"/>
  </w:num>
  <w:num w:numId="8" w16cid:durableId="2018849476">
    <w:abstractNumId w:val="14"/>
  </w:num>
  <w:num w:numId="9" w16cid:durableId="960962424">
    <w:abstractNumId w:val="18"/>
  </w:num>
  <w:num w:numId="10" w16cid:durableId="60099914">
    <w:abstractNumId w:val="13"/>
  </w:num>
  <w:num w:numId="11" w16cid:durableId="2120446594">
    <w:abstractNumId w:val="25"/>
  </w:num>
  <w:num w:numId="12" w16cid:durableId="1117673792">
    <w:abstractNumId w:val="2"/>
  </w:num>
  <w:num w:numId="13" w16cid:durableId="771704567">
    <w:abstractNumId w:val="11"/>
  </w:num>
  <w:num w:numId="14" w16cid:durableId="700939186">
    <w:abstractNumId w:val="4"/>
  </w:num>
  <w:num w:numId="15" w16cid:durableId="850796387">
    <w:abstractNumId w:val="23"/>
  </w:num>
  <w:num w:numId="16" w16cid:durableId="1366056729">
    <w:abstractNumId w:val="5"/>
  </w:num>
  <w:num w:numId="17" w16cid:durableId="479347091">
    <w:abstractNumId w:val="10"/>
  </w:num>
  <w:num w:numId="18" w16cid:durableId="1822188871">
    <w:abstractNumId w:val="24"/>
  </w:num>
  <w:num w:numId="19" w16cid:durableId="811602058">
    <w:abstractNumId w:val="16"/>
  </w:num>
  <w:num w:numId="20" w16cid:durableId="977804239">
    <w:abstractNumId w:val="9"/>
  </w:num>
  <w:num w:numId="21" w16cid:durableId="110130398">
    <w:abstractNumId w:val="27"/>
  </w:num>
  <w:num w:numId="22" w16cid:durableId="1069381125">
    <w:abstractNumId w:val="22"/>
  </w:num>
  <w:num w:numId="23" w16cid:durableId="20667878">
    <w:abstractNumId w:val="0"/>
  </w:num>
  <w:num w:numId="24" w16cid:durableId="371882397">
    <w:abstractNumId w:val="26"/>
  </w:num>
  <w:num w:numId="25" w16cid:durableId="1306466740">
    <w:abstractNumId w:val="21"/>
  </w:num>
  <w:num w:numId="26" w16cid:durableId="1068651492">
    <w:abstractNumId w:val="7"/>
  </w:num>
  <w:num w:numId="27" w16cid:durableId="412818895">
    <w:abstractNumId w:val="19"/>
  </w:num>
  <w:num w:numId="28" w16cid:durableId="1468208536">
    <w:abstractNumId w:val="6"/>
  </w:num>
  <w:num w:numId="29" w16cid:durableId="52973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enforcement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A9"/>
    <w:rsid w:val="00007A02"/>
    <w:rsid w:val="00007E19"/>
    <w:rsid w:val="0002106A"/>
    <w:rsid w:val="00026D3F"/>
    <w:rsid w:val="000275C4"/>
    <w:rsid w:val="00027A06"/>
    <w:rsid w:val="00036FB9"/>
    <w:rsid w:val="000420FC"/>
    <w:rsid w:val="00045641"/>
    <w:rsid w:val="00050FCC"/>
    <w:rsid w:val="000520E2"/>
    <w:rsid w:val="0005434C"/>
    <w:rsid w:val="0008468C"/>
    <w:rsid w:val="00087724"/>
    <w:rsid w:val="00096AC0"/>
    <w:rsid w:val="000B070C"/>
    <w:rsid w:val="000B1F2B"/>
    <w:rsid w:val="000B3761"/>
    <w:rsid w:val="000B65DC"/>
    <w:rsid w:val="000C7077"/>
    <w:rsid w:val="000D202A"/>
    <w:rsid w:val="000D38BF"/>
    <w:rsid w:val="000D7E95"/>
    <w:rsid w:val="000E2B14"/>
    <w:rsid w:val="000E50EA"/>
    <w:rsid w:val="000E6A2B"/>
    <w:rsid w:val="000F55E2"/>
    <w:rsid w:val="001015D3"/>
    <w:rsid w:val="00101627"/>
    <w:rsid w:val="00107ECE"/>
    <w:rsid w:val="001142A3"/>
    <w:rsid w:val="00122107"/>
    <w:rsid w:val="001429E2"/>
    <w:rsid w:val="00153FE0"/>
    <w:rsid w:val="00164894"/>
    <w:rsid w:val="00172345"/>
    <w:rsid w:val="0017287C"/>
    <w:rsid w:val="00174183"/>
    <w:rsid w:val="00182710"/>
    <w:rsid w:val="00184174"/>
    <w:rsid w:val="00184FAB"/>
    <w:rsid w:val="00185D54"/>
    <w:rsid w:val="00197454"/>
    <w:rsid w:val="001E559F"/>
    <w:rsid w:val="001F436A"/>
    <w:rsid w:val="002030F7"/>
    <w:rsid w:val="002037CF"/>
    <w:rsid w:val="00204BE5"/>
    <w:rsid w:val="0022513A"/>
    <w:rsid w:val="00226D53"/>
    <w:rsid w:val="002279BC"/>
    <w:rsid w:val="00227DC2"/>
    <w:rsid w:val="00230A67"/>
    <w:rsid w:val="00233E01"/>
    <w:rsid w:val="00235B07"/>
    <w:rsid w:val="00250203"/>
    <w:rsid w:val="00255EA8"/>
    <w:rsid w:val="002574A3"/>
    <w:rsid w:val="0027043B"/>
    <w:rsid w:val="00272D28"/>
    <w:rsid w:val="00283EB0"/>
    <w:rsid w:val="00284E7B"/>
    <w:rsid w:val="00295A80"/>
    <w:rsid w:val="00296708"/>
    <w:rsid w:val="002B05AB"/>
    <w:rsid w:val="002B28E9"/>
    <w:rsid w:val="002B3362"/>
    <w:rsid w:val="002C16E4"/>
    <w:rsid w:val="002C3A70"/>
    <w:rsid w:val="002D440E"/>
    <w:rsid w:val="002D5D40"/>
    <w:rsid w:val="002E0B98"/>
    <w:rsid w:val="002E31A9"/>
    <w:rsid w:val="0030549B"/>
    <w:rsid w:val="0031790A"/>
    <w:rsid w:val="0033386A"/>
    <w:rsid w:val="003346D5"/>
    <w:rsid w:val="0033477C"/>
    <w:rsid w:val="00351414"/>
    <w:rsid w:val="00360413"/>
    <w:rsid w:val="00372AE6"/>
    <w:rsid w:val="003740F6"/>
    <w:rsid w:val="003776C1"/>
    <w:rsid w:val="003822D3"/>
    <w:rsid w:val="00382994"/>
    <w:rsid w:val="0039492C"/>
    <w:rsid w:val="003B4981"/>
    <w:rsid w:val="003B7794"/>
    <w:rsid w:val="003C197D"/>
    <w:rsid w:val="003C27C1"/>
    <w:rsid w:val="003D3B68"/>
    <w:rsid w:val="003E15B3"/>
    <w:rsid w:val="003E611C"/>
    <w:rsid w:val="0040642F"/>
    <w:rsid w:val="004223BA"/>
    <w:rsid w:val="00426A56"/>
    <w:rsid w:val="0043533D"/>
    <w:rsid w:val="00435DF8"/>
    <w:rsid w:val="00440892"/>
    <w:rsid w:val="00453FB6"/>
    <w:rsid w:val="00473CED"/>
    <w:rsid w:val="00482030"/>
    <w:rsid w:val="004A25EE"/>
    <w:rsid w:val="004A45C4"/>
    <w:rsid w:val="004A5290"/>
    <w:rsid w:val="004A70E6"/>
    <w:rsid w:val="004B7737"/>
    <w:rsid w:val="004D1204"/>
    <w:rsid w:val="004D3BDD"/>
    <w:rsid w:val="004F06C8"/>
    <w:rsid w:val="004F17D6"/>
    <w:rsid w:val="004F4D38"/>
    <w:rsid w:val="004F7949"/>
    <w:rsid w:val="005134D3"/>
    <w:rsid w:val="00516749"/>
    <w:rsid w:val="00525F88"/>
    <w:rsid w:val="005532BB"/>
    <w:rsid w:val="005629E2"/>
    <w:rsid w:val="005662F3"/>
    <w:rsid w:val="0057502E"/>
    <w:rsid w:val="00594212"/>
    <w:rsid w:val="005A5383"/>
    <w:rsid w:val="005A5F0E"/>
    <w:rsid w:val="005A7E96"/>
    <w:rsid w:val="005C0E14"/>
    <w:rsid w:val="005F16A5"/>
    <w:rsid w:val="00604ADB"/>
    <w:rsid w:val="00622041"/>
    <w:rsid w:val="0062635A"/>
    <w:rsid w:val="00634262"/>
    <w:rsid w:val="006464AE"/>
    <w:rsid w:val="0065735E"/>
    <w:rsid w:val="00662F57"/>
    <w:rsid w:val="0067650E"/>
    <w:rsid w:val="00682E59"/>
    <w:rsid w:val="0068419C"/>
    <w:rsid w:val="00685AAE"/>
    <w:rsid w:val="0069054F"/>
    <w:rsid w:val="006A1F55"/>
    <w:rsid w:val="006A2966"/>
    <w:rsid w:val="006B08C0"/>
    <w:rsid w:val="006C1F58"/>
    <w:rsid w:val="006E5715"/>
    <w:rsid w:val="006E6CAD"/>
    <w:rsid w:val="00700C7A"/>
    <w:rsid w:val="00705F91"/>
    <w:rsid w:val="0072357E"/>
    <w:rsid w:val="00723FF3"/>
    <w:rsid w:val="007428CA"/>
    <w:rsid w:val="00757D26"/>
    <w:rsid w:val="00777A9B"/>
    <w:rsid w:val="00777E74"/>
    <w:rsid w:val="007826A5"/>
    <w:rsid w:val="007860F6"/>
    <w:rsid w:val="007A4F8E"/>
    <w:rsid w:val="007A50AB"/>
    <w:rsid w:val="007C137A"/>
    <w:rsid w:val="007D1057"/>
    <w:rsid w:val="007D3248"/>
    <w:rsid w:val="007D46DC"/>
    <w:rsid w:val="007E2867"/>
    <w:rsid w:val="007F4F09"/>
    <w:rsid w:val="007F602C"/>
    <w:rsid w:val="00815990"/>
    <w:rsid w:val="00824DC3"/>
    <w:rsid w:val="008264AC"/>
    <w:rsid w:val="00832FD3"/>
    <w:rsid w:val="00837D8E"/>
    <w:rsid w:val="00854C2D"/>
    <w:rsid w:val="008773C6"/>
    <w:rsid w:val="008818A8"/>
    <w:rsid w:val="00896856"/>
    <w:rsid w:val="008C5DBA"/>
    <w:rsid w:val="008D01EF"/>
    <w:rsid w:val="008D140C"/>
    <w:rsid w:val="008D3BAD"/>
    <w:rsid w:val="008E1CCE"/>
    <w:rsid w:val="008E4B9D"/>
    <w:rsid w:val="008F05CB"/>
    <w:rsid w:val="008F303C"/>
    <w:rsid w:val="008F54B6"/>
    <w:rsid w:val="00900DAE"/>
    <w:rsid w:val="00922E4F"/>
    <w:rsid w:val="009317B7"/>
    <w:rsid w:val="0093680F"/>
    <w:rsid w:val="00952521"/>
    <w:rsid w:val="00960E9F"/>
    <w:rsid w:val="0097380C"/>
    <w:rsid w:val="00974345"/>
    <w:rsid w:val="00974BC3"/>
    <w:rsid w:val="0097543D"/>
    <w:rsid w:val="00983BA7"/>
    <w:rsid w:val="0098741E"/>
    <w:rsid w:val="00995A4D"/>
    <w:rsid w:val="009A24D3"/>
    <w:rsid w:val="009A783B"/>
    <w:rsid w:val="009B4BEC"/>
    <w:rsid w:val="009B4DC7"/>
    <w:rsid w:val="009E0A5E"/>
    <w:rsid w:val="009E73B1"/>
    <w:rsid w:val="00A12CB5"/>
    <w:rsid w:val="00A143CB"/>
    <w:rsid w:val="00A16FFC"/>
    <w:rsid w:val="00A32C58"/>
    <w:rsid w:val="00A374A1"/>
    <w:rsid w:val="00A41EF5"/>
    <w:rsid w:val="00A42385"/>
    <w:rsid w:val="00A4574D"/>
    <w:rsid w:val="00A457B7"/>
    <w:rsid w:val="00A51899"/>
    <w:rsid w:val="00A52961"/>
    <w:rsid w:val="00A53A5E"/>
    <w:rsid w:val="00A622C0"/>
    <w:rsid w:val="00A74BCF"/>
    <w:rsid w:val="00A7728E"/>
    <w:rsid w:val="00A865EC"/>
    <w:rsid w:val="00A9423D"/>
    <w:rsid w:val="00A96E21"/>
    <w:rsid w:val="00AA5C10"/>
    <w:rsid w:val="00AB4DB2"/>
    <w:rsid w:val="00AB7339"/>
    <w:rsid w:val="00AC156D"/>
    <w:rsid w:val="00AD479B"/>
    <w:rsid w:val="00B10810"/>
    <w:rsid w:val="00B21A35"/>
    <w:rsid w:val="00B23F62"/>
    <w:rsid w:val="00B26334"/>
    <w:rsid w:val="00B3092A"/>
    <w:rsid w:val="00B4197A"/>
    <w:rsid w:val="00B426AB"/>
    <w:rsid w:val="00B51EB9"/>
    <w:rsid w:val="00B522CC"/>
    <w:rsid w:val="00B6697F"/>
    <w:rsid w:val="00B87042"/>
    <w:rsid w:val="00BA22D5"/>
    <w:rsid w:val="00BA3861"/>
    <w:rsid w:val="00BA7412"/>
    <w:rsid w:val="00BC15A4"/>
    <w:rsid w:val="00BC673A"/>
    <w:rsid w:val="00BE0CCF"/>
    <w:rsid w:val="00C01182"/>
    <w:rsid w:val="00C07A49"/>
    <w:rsid w:val="00C10A5B"/>
    <w:rsid w:val="00C11765"/>
    <w:rsid w:val="00C20AA5"/>
    <w:rsid w:val="00C218B8"/>
    <w:rsid w:val="00C265F1"/>
    <w:rsid w:val="00C30014"/>
    <w:rsid w:val="00C32DED"/>
    <w:rsid w:val="00C35D5C"/>
    <w:rsid w:val="00C507AA"/>
    <w:rsid w:val="00C529AB"/>
    <w:rsid w:val="00C54A9A"/>
    <w:rsid w:val="00C56E16"/>
    <w:rsid w:val="00C81B40"/>
    <w:rsid w:val="00C977EE"/>
    <w:rsid w:val="00CA05E5"/>
    <w:rsid w:val="00CA29B1"/>
    <w:rsid w:val="00CA5E76"/>
    <w:rsid w:val="00CA5F89"/>
    <w:rsid w:val="00CA71DF"/>
    <w:rsid w:val="00CB6C24"/>
    <w:rsid w:val="00CC2F4A"/>
    <w:rsid w:val="00CC7C2C"/>
    <w:rsid w:val="00CF1D02"/>
    <w:rsid w:val="00D0045F"/>
    <w:rsid w:val="00D1361E"/>
    <w:rsid w:val="00D15C28"/>
    <w:rsid w:val="00D15D9A"/>
    <w:rsid w:val="00D2018D"/>
    <w:rsid w:val="00D21D3A"/>
    <w:rsid w:val="00D24B5A"/>
    <w:rsid w:val="00D25EEA"/>
    <w:rsid w:val="00D2706D"/>
    <w:rsid w:val="00D31A4A"/>
    <w:rsid w:val="00D31C27"/>
    <w:rsid w:val="00D33A33"/>
    <w:rsid w:val="00D33CFD"/>
    <w:rsid w:val="00D34E8B"/>
    <w:rsid w:val="00D574F3"/>
    <w:rsid w:val="00D774E6"/>
    <w:rsid w:val="00D818B6"/>
    <w:rsid w:val="00D85191"/>
    <w:rsid w:val="00D867AA"/>
    <w:rsid w:val="00D927E7"/>
    <w:rsid w:val="00D9679E"/>
    <w:rsid w:val="00D97BB1"/>
    <w:rsid w:val="00DA1360"/>
    <w:rsid w:val="00DB122B"/>
    <w:rsid w:val="00DD7CF7"/>
    <w:rsid w:val="00E010B4"/>
    <w:rsid w:val="00E01464"/>
    <w:rsid w:val="00E054EB"/>
    <w:rsid w:val="00E14648"/>
    <w:rsid w:val="00E14CBB"/>
    <w:rsid w:val="00E23CDF"/>
    <w:rsid w:val="00E26DD9"/>
    <w:rsid w:val="00E4391B"/>
    <w:rsid w:val="00E50B7A"/>
    <w:rsid w:val="00E51F57"/>
    <w:rsid w:val="00E57C82"/>
    <w:rsid w:val="00E65CFB"/>
    <w:rsid w:val="00E73DA8"/>
    <w:rsid w:val="00E90AB6"/>
    <w:rsid w:val="00E946F4"/>
    <w:rsid w:val="00E96D79"/>
    <w:rsid w:val="00E97165"/>
    <w:rsid w:val="00EA1BBA"/>
    <w:rsid w:val="00EA27C1"/>
    <w:rsid w:val="00EA335F"/>
    <w:rsid w:val="00EA48FC"/>
    <w:rsid w:val="00EA52BF"/>
    <w:rsid w:val="00EB1D0E"/>
    <w:rsid w:val="00EB4397"/>
    <w:rsid w:val="00EB6575"/>
    <w:rsid w:val="00EC1323"/>
    <w:rsid w:val="00ED79E5"/>
    <w:rsid w:val="00EE2C0E"/>
    <w:rsid w:val="00EF4782"/>
    <w:rsid w:val="00F04FF2"/>
    <w:rsid w:val="00F068CB"/>
    <w:rsid w:val="00F108E1"/>
    <w:rsid w:val="00F21941"/>
    <w:rsid w:val="00F220F6"/>
    <w:rsid w:val="00F23134"/>
    <w:rsid w:val="00F25812"/>
    <w:rsid w:val="00F3630C"/>
    <w:rsid w:val="00F4180D"/>
    <w:rsid w:val="00F445E9"/>
    <w:rsid w:val="00F464E3"/>
    <w:rsid w:val="00F52E4B"/>
    <w:rsid w:val="00F543BA"/>
    <w:rsid w:val="00F54A46"/>
    <w:rsid w:val="00F70F52"/>
    <w:rsid w:val="00F756E3"/>
    <w:rsid w:val="00F77C71"/>
    <w:rsid w:val="00F832E8"/>
    <w:rsid w:val="00F8449F"/>
    <w:rsid w:val="00F8474C"/>
    <w:rsid w:val="00FC0A52"/>
    <w:rsid w:val="00FD408B"/>
    <w:rsid w:val="00FE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84BDD"/>
  <w15:chartTrackingRefBased/>
  <w15:docId w15:val="{7B0FD628-3411-4557-8233-1B5C86F6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BOS">
    <w:name w:val="BOS"/>
    <w:uiPriority w:val="99"/>
    <w:rsid w:val="00777E74"/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SFAKS">
    <w:name w:val="BOS FAKS"/>
    <w:uiPriority w:val="99"/>
    <w:rsid w:val="00185D54"/>
    <w:rPr>
      <w:rFonts w:ascii="Arial" w:hAnsi="Arial" w:cs="Arial"/>
      <w:sz w:val="18"/>
      <w:szCs w:val="18"/>
    </w:rPr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okumentyFirmowe1">
    <w:name w:val="Dokumenty Firmowe 1"/>
    <w:uiPriority w:val="99"/>
    <w:rsid w:val="00F21941"/>
    <w:rPr>
      <w:rFonts w:ascii="Arial" w:hAnsi="Arial" w:cs="Arial"/>
      <w:color w:val="FFFFFF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C0C0C"/>
    </w:tcPr>
  </w:style>
  <w:style w:type="table" w:customStyle="1" w:styleId="BOSWNIOSEK2">
    <w:name w:val="BOS WNIOSEK2"/>
    <w:basedOn w:val="BOS"/>
    <w:uiPriority w:val="99"/>
    <w:rsid w:val="004F4D38"/>
    <w:rPr>
      <w:rFonts w:ascii="Arial" w:hAnsi="Arial" w:cs="Arial"/>
      <w:sz w:val="14"/>
      <w:szCs w:val="14"/>
    </w:rPr>
    <w:tblPr>
      <w:tblStyleColBandSize w:val="1"/>
    </w:tblPr>
    <w:tblStylePr w:type="firstRow">
      <w:pPr>
        <w:jc w:val="left"/>
      </w:pPr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  <w:shd w:val="clear" w:color="auto" w:fill="E6E6E6"/>
      </w:tcPr>
    </w:tblStylePr>
    <w:tblStylePr w:type="band2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</w:tcPr>
    </w:tblStylePr>
  </w:style>
  <w:style w:type="paragraph" w:styleId="Nagwek">
    <w:name w:val="header"/>
    <w:basedOn w:val="Normalny"/>
    <w:link w:val="NagwekZnak"/>
    <w:uiPriority w:val="99"/>
    <w:rsid w:val="00EA3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3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4"/>
    </w:rPr>
  </w:style>
  <w:style w:type="table" w:customStyle="1" w:styleId="BOSCZYSTY">
    <w:name w:val="BOS CZYSTY"/>
    <w:basedOn w:val="BOSWNIOSEK2"/>
    <w:uiPriority w:val="99"/>
    <w:rsid w:val="00C11765"/>
    <w:tblPr/>
    <w:tblStylePr w:type="firstRow">
      <w:pPr>
        <w:jc w:val="left"/>
      </w:pPr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  <w:shd w:val="clear" w:color="auto" w:fill="E6E6E6"/>
      </w:tcPr>
    </w:tblStylePr>
    <w:tblStylePr w:type="band2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</w:tcPr>
    </w:tblStylePr>
  </w:style>
  <w:style w:type="character" w:styleId="Numerstrony">
    <w:name w:val="page number"/>
    <w:basedOn w:val="Domylnaczcionkaakapitu"/>
    <w:uiPriority w:val="99"/>
    <w:rsid w:val="00A9423D"/>
  </w:style>
  <w:style w:type="paragraph" w:styleId="Tekstpodstawowy2">
    <w:name w:val="Body Text 2"/>
    <w:basedOn w:val="Normalny"/>
    <w:link w:val="Tekstpodstawowy2Znak"/>
    <w:uiPriority w:val="99"/>
    <w:rsid w:val="002E31A9"/>
    <w:pPr>
      <w:jc w:val="both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C507AA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ipercze">
    <w:name w:val="Hyperlink"/>
    <w:uiPriority w:val="99"/>
    <w:rsid w:val="005A7E96"/>
    <w:rPr>
      <w:color w:val="0000FF"/>
      <w:u w:val="single"/>
    </w:rPr>
  </w:style>
  <w:style w:type="character" w:styleId="Odwoanieprzypisudolnego">
    <w:name w:val="footnote reference"/>
    <w:uiPriority w:val="99"/>
    <w:semiHidden/>
    <w:rsid w:val="00C011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573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F30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paragraph" w:customStyle="1" w:styleId="ZnakZnakZnakCharCharZnakZnakCharCharZnakZnakZnakZnakZnakCharChar">
    <w:name w:val="Znak Znak Znak Char Char Znak Znak Char Char Znak Znak Znak Znak Znak Char Char"/>
    <w:basedOn w:val="Normalny"/>
    <w:semiHidden/>
    <w:rsid w:val="00A16FFC"/>
    <w:pPr>
      <w:spacing w:after="160" w:line="240" w:lineRule="exact"/>
    </w:pPr>
    <w:rPr>
      <w:rFonts w:ascii="Verdana" w:hAnsi="Verdana"/>
      <w:sz w:val="20"/>
      <w:szCs w:val="20"/>
      <w:lang w:val="en-US" w:eastAsia="en-US" w:bidi="he-IL"/>
    </w:rPr>
  </w:style>
  <w:style w:type="paragraph" w:styleId="Poprawka">
    <w:name w:val="Revision"/>
    <w:hidden/>
    <w:uiPriority w:val="99"/>
    <w:semiHidden/>
    <w:rsid w:val="00C265F1"/>
    <w:rPr>
      <w:sz w:val="24"/>
      <w:szCs w:val="24"/>
    </w:rPr>
  </w:style>
  <w:style w:type="character" w:styleId="Odwoaniedokomentarza">
    <w:name w:val="annotation reference"/>
    <w:semiHidden/>
    <w:unhideWhenUsed/>
    <w:rsid w:val="00983BA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83B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3BA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3B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83BA7"/>
    <w:rPr>
      <w:b/>
      <w:bCs/>
    </w:rPr>
  </w:style>
  <w:style w:type="paragraph" w:customStyle="1" w:styleId="Tekstpodstawowy31">
    <w:name w:val="Tekst podstawowy 31"/>
    <w:basedOn w:val="Normalny"/>
    <w:rsid w:val="007A50AB"/>
    <w:pPr>
      <w:suppressAutoHyphens/>
      <w:spacing w:before="120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55921922F2224B9477D31B707F20FF" ma:contentTypeVersion="2" ma:contentTypeDescription="Utwórz nowy dokument." ma:contentTypeScope="" ma:versionID="152ae9c1bd5888c08a3cd1a4353db4bb">
  <xsd:schema xmlns:xsd="http://www.w3.org/2001/XMLSchema" xmlns:xs="http://www.w3.org/2001/XMLSchema" xmlns:p="http://schemas.microsoft.com/office/2006/metadata/properties" xmlns:ns2="af07ff72-b6f9-43c6-a1b2-7c9e6774316f" targetNamespace="http://schemas.microsoft.com/office/2006/metadata/properties" ma:root="true" ma:fieldsID="f4a238f581e4177a7e081d2180b61323" ns2:_="">
    <xsd:import namespace="af07ff72-b6f9-43c6-a1b2-7c9e67743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7ff72-b6f9-43c6-a1b2-7c9e677431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89EAC-FB08-4441-AD45-A50AA5BE3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7ff72-b6f9-43c6-a1b2-7c9e67743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7E3E9-5256-4CD2-9A94-4F7B5EDC2F97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f07ff72-b6f9-43c6-a1b2-7c9e6774316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5EB792-2456-497F-9B55-2118631367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656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n/a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bkopec</dc:creator>
  <cp:keywords/>
  <cp:lastModifiedBy>Kułak Anna (DRP)</cp:lastModifiedBy>
  <cp:revision>6</cp:revision>
  <cp:lastPrinted>2015-10-28T12:07:00Z</cp:lastPrinted>
  <dcterms:created xsi:type="dcterms:W3CDTF">2026-02-12T17:04:00Z</dcterms:created>
  <dcterms:modified xsi:type="dcterms:W3CDTF">2026-02-23T13:23:00Z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0x0101004D55921922F2224B9477D31B707F20FF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2026-02-12T17:04:43Z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79108790-f87c-4170-a4c2-0f50b7dcf5ba</vt:lpwstr>
  </property>
  <property fmtid="{D5CDD505-2E9C-101B-9397-08002B2CF9AE}" pid="9" name="MSIP_Label_da0d7ebb-8d5f-4d70-ab59-1b8ea1828e86_ContentBits">
    <vt:lpwstr>0</vt:lpwstr>
  </property>
  <property fmtid="{D5CDD505-2E9C-101B-9397-08002B2CF9AE}" pid="10" name="MSIP_Label_da0d7ebb-8d5f-4d70-ab59-1b8ea1828e86_Tag">
    <vt:lpwstr>10, 0, 1, 1</vt:lpwstr>
  </property>
</Properties>
</file>